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2019年澄迈县财政局老城财政所部门预算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jc w:val="center"/>
        <w:rPr>
          <w:rFonts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老城财政所概况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老城财政所2019年部门预算表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老城财政所2019年部门预算情况说明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老城财政所概况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firstLine="0" w:firstLineChars="0"/>
        <w:rPr>
          <w:rFonts w:ascii="仿宋_GB2312" w:hAnsi="仿宋_GB2312" w:eastAsia="仿宋_GB2312" w:cs="仿宋_GB2312"/>
          <w:color w:val="454545"/>
          <w:sz w:val="32"/>
          <w:szCs w:val="32"/>
          <w:shd w:val="clear" w:color="auto" w:fill="FFFFFF"/>
        </w:rPr>
      </w:pPr>
      <w:r>
        <w:rPr>
          <w:rFonts w:ascii="仿宋_GB2312" w:hAnsi="黑体" w:eastAsia="仿宋_GB2312" w:cs="仿宋_GB2312"/>
          <w:sz w:val="32"/>
          <w:szCs w:val="32"/>
        </w:rPr>
        <w:t>(</w:t>
      </w:r>
      <w:r>
        <w:rPr>
          <w:rFonts w:hint="eastAsia" w:ascii="仿宋_GB2312" w:hAnsi="黑体" w:eastAsia="仿宋_GB2312" w:cs="仿宋_GB2312"/>
          <w:sz w:val="32"/>
          <w:szCs w:val="32"/>
        </w:rPr>
        <w:t>一</w:t>
      </w:r>
      <w:r>
        <w:rPr>
          <w:rFonts w:ascii="仿宋_GB2312" w:hAnsi="黑体" w:eastAsia="仿宋_GB2312" w:cs="仿宋_GB2312"/>
          <w:sz w:val="32"/>
          <w:szCs w:val="32"/>
        </w:rPr>
        <w:t>)</w:t>
      </w:r>
      <w:r>
        <w:rPr>
          <w:rFonts w:hint="eastAsia" w:ascii="仿宋_GB2312" w:hAnsi="黑体" w:eastAsia="仿宋_GB2312" w:cs="仿宋_GB2312"/>
          <w:sz w:val="32"/>
          <w:szCs w:val="32"/>
        </w:rPr>
        <w:t>负责贯彻执行党和国家有关财政、财务和会计管理的方针政策、法律法规规章，严格遵守财政法规和财经制度。</w:t>
      </w:r>
    </w:p>
    <w:p>
      <w:pPr>
        <w:pStyle w:val="6"/>
        <w:ind w:firstLine="640" w:firstLineChars="0"/>
        <w:rPr>
          <w:rFonts w:ascii="仿宋_GB2312" w:hAnsi="仿宋_GB2312" w:eastAsia="仿宋_GB2312" w:cs="仿宋_GB2312"/>
          <w:color w:val="454545"/>
          <w:sz w:val="32"/>
          <w:szCs w:val="32"/>
          <w:shd w:val="clear" w:color="auto" w:fill="FFFFFF"/>
        </w:rPr>
      </w:pPr>
      <w:r>
        <w:rPr>
          <w:rFonts w:ascii="仿宋_GB2312" w:hAnsi="黑体" w:eastAsia="仿宋_GB2312" w:cs="仿宋_GB2312"/>
          <w:sz w:val="32"/>
          <w:szCs w:val="32"/>
        </w:rPr>
        <w:t>(</w:t>
      </w:r>
      <w:r>
        <w:rPr>
          <w:rFonts w:hint="eastAsia" w:ascii="仿宋_GB2312" w:hAnsi="黑体" w:eastAsia="仿宋_GB2312" w:cs="仿宋_GB2312"/>
          <w:sz w:val="32"/>
          <w:szCs w:val="32"/>
        </w:rPr>
        <w:t>二</w:t>
      </w:r>
      <w:r>
        <w:rPr>
          <w:rFonts w:ascii="仿宋_GB2312" w:hAnsi="黑体" w:eastAsia="仿宋_GB2312" w:cs="仿宋_GB2312"/>
          <w:sz w:val="32"/>
          <w:szCs w:val="32"/>
        </w:rPr>
        <w:t>)</w:t>
      </w:r>
      <w:r>
        <w:rPr>
          <w:rFonts w:hint="eastAsia" w:ascii="仿宋_GB2312" w:hAnsi="仿宋_GB2312" w:eastAsia="仿宋_GB2312" w:cs="仿宋_GB2312"/>
          <w:color w:val="454545"/>
          <w:sz w:val="32"/>
          <w:szCs w:val="32"/>
          <w:shd w:val="clear" w:color="auto" w:fill="FFFFFF"/>
        </w:rPr>
        <w:t>负责承担镇级财政收支管理职责。负责编制镇级年度财政决算草案并组织执行。镇级年度财政预算草案，经县财政局审核，报镇人大通过后实施。</w:t>
      </w:r>
    </w:p>
    <w:p>
      <w:pPr>
        <w:pStyle w:val="6"/>
        <w:ind w:firstLine="640" w:firstLineChars="0"/>
        <w:rPr>
          <w:rFonts w:ascii="仿宋_GB2312" w:hAnsi="仿宋_GB2312" w:eastAsia="仿宋_GB2312" w:cs="仿宋_GB2312"/>
          <w:color w:val="454545"/>
          <w:sz w:val="32"/>
          <w:szCs w:val="32"/>
          <w:shd w:val="clear" w:color="auto" w:fill="FFFFFF"/>
        </w:rPr>
      </w:pPr>
      <w:r>
        <w:rPr>
          <w:rFonts w:ascii="仿宋_GB2312" w:hAnsi="黑体" w:eastAsia="仿宋_GB2312" w:cs="仿宋_GB2312"/>
          <w:sz w:val="32"/>
          <w:szCs w:val="32"/>
        </w:rPr>
        <w:t>(</w:t>
      </w:r>
      <w:r>
        <w:rPr>
          <w:rFonts w:hint="eastAsia" w:ascii="仿宋_GB2312" w:hAnsi="黑体" w:eastAsia="仿宋_GB2312" w:cs="仿宋_GB2312"/>
          <w:sz w:val="32"/>
          <w:szCs w:val="32"/>
        </w:rPr>
        <w:t>三</w:t>
      </w:r>
      <w:r>
        <w:rPr>
          <w:rFonts w:ascii="仿宋_GB2312" w:hAnsi="黑体" w:eastAsia="仿宋_GB2312" w:cs="仿宋_GB2312"/>
          <w:sz w:val="32"/>
          <w:szCs w:val="32"/>
        </w:rPr>
        <w:t>)</w:t>
      </w:r>
      <w:r>
        <w:rPr>
          <w:rFonts w:hint="eastAsia" w:ascii="仿宋_GB2312" w:hAnsi="仿宋_GB2312" w:eastAsia="仿宋_GB2312" w:cs="仿宋_GB2312"/>
          <w:color w:val="454545"/>
          <w:sz w:val="32"/>
          <w:szCs w:val="32"/>
          <w:shd w:val="clear" w:color="auto" w:fill="FFFFFF"/>
        </w:rPr>
        <w:t>负责镇级政府非税收入，按规定管理行政事业性收费，管理财政票据。</w:t>
      </w:r>
    </w:p>
    <w:p>
      <w:pPr>
        <w:pStyle w:val="6"/>
        <w:ind w:firstLine="640" w:firstLineChars="0"/>
        <w:rPr>
          <w:rFonts w:ascii="仿宋_GB2312" w:hAnsi="仿宋_GB2312" w:eastAsia="仿宋_GB2312" w:cs="仿宋_GB2312"/>
          <w:color w:val="454545"/>
          <w:sz w:val="32"/>
          <w:szCs w:val="32"/>
          <w:shd w:val="clear" w:color="auto" w:fill="FFFFFF"/>
        </w:rPr>
      </w:pPr>
      <w:r>
        <w:rPr>
          <w:rFonts w:ascii="仿宋_GB2312" w:hAnsi="黑体" w:eastAsia="仿宋_GB2312" w:cs="仿宋_GB2312"/>
          <w:sz w:val="32"/>
          <w:szCs w:val="32"/>
        </w:rPr>
        <w:t>(</w:t>
      </w:r>
      <w:r>
        <w:rPr>
          <w:rFonts w:hint="eastAsia" w:ascii="仿宋_GB2312" w:hAnsi="黑体" w:eastAsia="仿宋_GB2312" w:cs="仿宋_GB2312"/>
          <w:sz w:val="32"/>
          <w:szCs w:val="32"/>
        </w:rPr>
        <w:t>四</w:t>
      </w:r>
      <w:r>
        <w:rPr>
          <w:rFonts w:ascii="仿宋_GB2312" w:hAnsi="黑体" w:eastAsia="仿宋_GB2312" w:cs="仿宋_GB2312"/>
          <w:sz w:val="32"/>
          <w:szCs w:val="32"/>
        </w:rPr>
        <w:t>)</w:t>
      </w:r>
      <w:r>
        <w:rPr>
          <w:rFonts w:hint="eastAsia" w:ascii="仿宋_GB2312" w:hAnsi="仿宋_GB2312" w:eastAsia="仿宋_GB2312" w:cs="仿宋_GB2312"/>
          <w:color w:val="454545"/>
          <w:sz w:val="32"/>
          <w:szCs w:val="32"/>
          <w:shd w:val="clear" w:color="auto" w:fill="FFFFFF"/>
        </w:rPr>
        <w:t>负责组织镇级推行财政国库管理制度、国库集中支付制度和公务卡改革，配合县财政局做好镇财县管工作。</w:t>
      </w:r>
    </w:p>
    <w:p>
      <w:pPr>
        <w:pStyle w:val="6"/>
        <w:ind w:firstLine="640" w:firstLineChars="0"/>
        <w:rPr>
          <w:rFonts w:ascii="仿宋_GB2312" w:hAnsi="黑体" w:eastAsia="仿宋_GB2312" w:cs="仿宋_GB2312"/>
          <w:sz w:val="32"/>
          <w:szCs w:val="32"/>
        </w:rPr>
      </w:pPr>
      <w:r>
        <w:rPr>
          <w:rFonts w:ascii="仿宋_GB2312" w:hAnsi="黑体" w:eastAsia="仿宋_GB2312" w:cs="仿宋_GB2312"/>
          <w:sz w:val="32"/>
          <w:szCs w:val="32"/>
        </w:rPr>
        <w:t>(</w:t>
      </w:r>
      <w:r>
        <w:rPr>
          <w:rFonts w:hint="eastAsia" w:ascii="仿宋_GB2312" w:hAnsi="黑体" w:eastAsia="仿宋_GB2312" w:cs="仿宋_GB2312"/>
          <w:sz w:val="32"/>
          <w:szCs w:val="32"/>
        </w:rPr>
        <w:t>五</w:t>
      </w:r>
      <w:r>
        <w:rPr>
          <w:rFonts w:ascii="仿宋_GB2312" w:hAnsi="黑体" w:eastAsia="仿宋_GB2312" w:cs="仿宋_GB2312"/>
          <w:sz w:val="32"/>
          <w:szCs w:val="32"/>
        </w:rPr>
        <w:t>)</w:t>
      </w:r>
      <w:r>
        <w:rPr>
          <w:rFonts w:hint="eastAsia" w:ascii="仿宋_GB2312" w:hAnsi="黑体" w:eastAsia="仿宋_GB2312" w:cs="仿宋_GB2312"/>
          <w:sz w:val="32"/>
          <w:szCs w:val="32"/>
        </w:rPr>
        <w:t>负责涉农资金“一卡（折）通”发放管理和农民补贴网络信息系统管理工作，审核和落实各项财政强农惠农资金和优抚救助资金。财政惠农资金包括种粮直补、粮食综合直补、退耕还林、水稻良种、能繁母猪和水库移民后续扶持资金等财政补贴专项资金。</w:t>
      </w:r>
    </w:p>
    <w:p>
      <w:pPr>
        <w:pStyle w:val="6"/>
        <w:ind w:firstLine="640" w:firstLineChars="0"/>
        <w:rPr>
          <w:rFonts w:ascii="仿宋_GB2312" w:hAnsi="仿宋_GB2312" w:eastAsia="仿宋_GB2312" w:cs="仿宋_GB2312"/>
          <w:color w:val="454545"/>
          <w:sz w:val="32"/>
          <w:szCs w:val="32"/>
          <w:shd w:val="clear" w:color="auto" w:fill="FFFFFF"/>
        </w:rPr>
      </w:pPr>
      <w:r>
        <w:rPr>
          <w:rFonts w:ascii="仿宋_GB2312" w:hAnsi="黑体" w:eastAsia="仿宋_GB2312" w:cs="仿宋_GB2312"/>
          <w:sz w:val="32"/>
          <w:szCs w:val="32"/>
        </w:rPr>
        <w:t>(</w:t>
      </w:r>
      <w:r>
        <w:rPr>
          <w:rFonts w:hint="eastAsia" w:ascii="仿宋_GB2312" w:hAnsi="黑体" w:eastAsia="仿宋_GB2312" w:cs="仿宋_GB2312"/>
          <w:sz w:val="32"/>
          <w:szCs w:val="32"/>
        </w:rPr>
        <w:t>六</w:t>
      </w:r>
      <w:r>
        <w:rPr>
          <w:rFonts w:ascii="仿宋_GB2312" w:hAnsi="黑体" w:eastAsia="仿宋_GB2312" w:cs="仿宋_GB2312"/>
          <w:sz w:val="32"/>
          <w:szCs w:val="32"/>
        </w:rPr>
        <w:t>)</w:t>
      </w:r>
      <w:r>
        <w:rPr>
          <w:rFonts w:hint="eastAsia" w:ascii="仿宋_GB2312" w:hAnsi="仿宋_GB2312" w:eastAsia="仿宋_GB2312" w:cs="仿宋_GB2312"/>
          <w:color w:val="454545"/>
          <w:sz w:val="32"/>
          <w:szCs w:val="32"/>
          <w:shd w:val="clear" w:color="auto" w:fill="FFFFFF"/>
        </w:rPr>
        <w:t>负责会同镇级税务部门分析研究收支进度、开展财税政策法规宣传，向镇委、镇政府提出税收政策建议。</w:t>
      </w:r>
    </w:p>
    <w:p>
      <w:pPr>
        <w:pStyle w:val="6"/>
        <w:ind w:firstLine="640" w:firstLineChars="0"/>
        <w:rPr>
          <w:rFonts w:ascii="仿宋_GB2312" w:hAnsi="黑体" w:eastAsia="仿宋_GB2312" w:cs="仿宋_GB2312"/>
          <w:sz w:val="32"/>
          <w:szCs w:val="32"/>
        </w:rPr>
      </w:pPr>
      <w:r>
        <w:rPr>
          <w:rFonts w:hint="eastAsia" w:ascii="仿宋_GB2312" w:hAnsi="黑体" w:eastAsia="仿宋_GB2312" w:cs="仿宋_GB2312"/>
          <w:sz w:val="32"/>
          <w:szCs w:val="32"/>
        </w:rPr>
        <w:t>（七）负责镇级政府预算单位会计集中核算和农村集体“三资”委托代理服务工作，防范财政风险，切实履行财政监督检查职能。</w:t>
      </w:r>
    </w:p>
    <w:p>
      <w:pPr>
        <w:pStyle w:val="6"/>
        <w:ind w:firstLine="640" w:firstLineChars="0"/>
        <w:rPr>
          <w:rFonts w:ascii="仿宋_GB2312" w:hAnsi="黑体" w:eastAsia="仿宋_GB2312" w:cs="仿宋_GB2312"/>
          <w:sz w:val="32"/>
          <w:szCs w:val="32"/>
        </w:rPr>
      </w:pPr>
      <w:r>
        <w:rPr>
          <w:rFonts w:hint="eastAsia" w:ascii="仿宋_GB2312" w:hAnsi="黑体" w:eastAsia="仿宋_GB2312" w:cs="仿宋_GB2312"/>
          <w:sz w:val="32"/>
          <w:szCs w:val="32"/>
        </w:rPr>
        <w:t>（八）负责会同县国资委做好镇级国有资产监督管理基础性工作，确保镇级国有资产安全、保值、增值。</w:t>
      </w:r>
    </w:p>
    <w:p>
      <w:pPr>
        <w:pStyle w:val="6"/>
        <w:ind w:firstLine="640" w:firstLineChars="0"/>
        <w:rPr>
          <w:rFonts w:ascii="仿宋_GB2312" w:hAnsi="黑体" w:eastAsia="仿宋_GB2312" w:cs="仿宋_GB2312"/>
          <w:sz w:val="32"/>
          <w:szCs w:val="32"/>
        </w:rPr>
      </w:pPr>
      <w:r>
        <w:rPr>
          <w:rFonts w:hint="eastAsia" w:ascii="仿宋_GB2312" w:hAnsi="黑体" w:eastAsia="仿宋_GB2312" w:cs="仿宋_GB2312"/>
          <w:sz w:val="32"/>
          <w:szCs w:val="32"/>
        </w:rPr>
        <w:t>（九）负责协助收取新型农村合作医疗基金。</w:t>
      </w:r>
    </w:p>
    <w:p>
      <w:pPr>
        <w:pStyle w:val="6"/>
        <w:ind w:firstLine="640" w:firstLineChars="0"/>
        <w:rPr>
          <w:rFonts w:ascii="仿宋_GB2312" w:hAnsi="仿宋_GB2312" w:eastAsia="仿宋_GB2312" w:cs="仿宋_GB2312"/>
          <w:color w:val="454545"/>
          <w:sz w:val="32"/>
          <w:szCs w:val="32"/>
          <w:shd w:val="clear" w:color="auto" w:fill="FFFFFF"/>
        </w:rPr>
      </w:pPr>
      <w:r>
        <w:rPr>
          <w:rFonts w:hint="eastAsia" w:ascii="仿宋_GB2312" w:hAnsi="黑体" w:eastAsia="仿宋_GB2312" w:cs="仿宋_GB2312"/>
          <w:sz w:val="32"/>
          <w:szCs w:val="32"/>
        </w:rPr>
        <w:t>（十）</w:t>
      </w:r>
      <w:r>
        <w:rPr>
          <w:rFonts w:hint="eastAsia" w:ascii="仿宋_GB2312" w:hAnsi="仿宋_GB2312" w:eastAsia="仿宋_GB2312" w:cs="仿宋_GB2312"/>
          <w:color w:val="454545"/>
          <w:sz w:val="32"/>
          <w:szCs w:val="32"/>
          <w:shd w:val="clear" w:color="auto" w:fill="FFFFFF"/>
        </w:rPr>
        <w:t>负责对各类专项资金监管，确保资金使用安全，提高财政性资金使用效率。</w:t>
      </w:r>
    </w:p>
    <w:p>
      <w:pPr>
        <w:pStyle w:val="6"/>
        <w:ind w:firstLine="640" w:firstLineChars="0"/>
        <w:rPr>
          <w:rFonts w:ascii="仿宋_GB2312" w:hAnsi="黑体" w:eastAsia="仿宋_GB2312" w:cs="仿宋_GB2312"/>
          <w:sz w:val="32"/>
          <w:szCs w:val="32"/>
        </w:rPr>
      </w:pPr>
      <w:r>
        <w:rPr>
          <w:rFonts w:hint="eastAsia" w:ascii="仿宋_GB2312" w:hAnsi="仿宋_GB2312" w:eastAsia="仿宋_GB2312" w:cs="仿宋_GB2312"/>
          <w:color w:val="454545"/>
          <w:sz w:val="32"/>
          <w:szCs w:val="32"/>
          <w:shd w:val="clear" w:color="auto" w:fill="FFFFFF"/>
        </w:rPr>
        <w:t>（十一）负责承办镇委、镇政府以及县财政局交办的其他事项。</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600" w:lineRule="exact"/>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纳入老城财政所2019年部门预算编制范围的预算单位包括：</w:t>
      </w:r>
    </w:p>
    <w:p>
      <w:pPr>
        <w:spacing w:line="6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1、老城财政所本级 （无二级单位）</w:t>
      </w:r>
    </w:p>
    <w:p>
      <w:pPr>
        <w:ind w:left="800"/>
        <w:jc w:val="center"/>
        <w:rPr>
          <w:rFonts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第二部分 老城财政所2019年部门预算表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老城财政所2019年部门预算情况说明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一、关于老城财政所2019年财政拨款收支预算情况的总体说明</w:t>
      </w:r>
    </w:p>
    <w:p>
      <w:pPr>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老城财政所2019年财政拨款收支总预算261.22万元。其中，收入总计261.22万元，包括一般公共预算本年收入261.22万元、上年结转0万元，政府性基金预算本年收入0万元、上年结转0万元；支出总计261.22万元，包括一般公共服务支出197.14万元；社会保障和就业支出26.89万元；卫生健康支出21.83万元；住房保障支出15.36万元；农田水支出0万元。</w:t>
      </w:r>
    </w:p>
    <w:p>
      <w:pPr>
        <w:ind w:firstLine="640"/>
        <w:jc w:val="left"/>
        <w:rPr>
          <w:rFonts w:ascii="黑体" w:hAnsi="黑体" w:eastAsia="黑体"/>
          <w:sz w:val="32"/>
          <w:szCs w:val="32"/>
        </w:rPr>
      </w:pPr>
      <w:r>
        <w:rPr>
          <w:rFonts w:hint="eastAsia" w:ascii="黑体" w:hAnsi="黑体" w:eastAsia="黑体"/>
          <w:sz w:val="32"/>
          <w:szCs w:val="32"/>
        </w:rPr>
        <w:t>二、关于老城财政所2019年一般公共预算当年拨款情况说明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600" w:lineRule="exact"/>
        <w:ind w:firstLine="640" w:firstLineChars="200"/>
        <w:rPr>
          <w:rFonts w:ascii="仿宋_GB2312" w:hAnsi="黑体" w:eastAsia="仿宋_GB2312"/>
          <w:color w:val="FF0000"/>
          <w:sz w:val="32"/>
          <w:szCs w:val="32"/>
        </w:rPr>
      </w:pPr>
      <w:r>
        <w:rPr>
          <w:rFonts w:hint="eastAsia" w:ascii="仿宋_GB2312" w:hAnsi="黑体" w:eastAsia="仿宋_GB2312"/>
          <w:sz w:val="32"/>
          <w:szCs w:val="32"/>
        </w:rPr>
        <w:t>老城财政所2019年一般公共预算当年拨款261.22万元，比上年预算数增加13.65万元，主要是因为新的县镇财政体制改革提高了乡镇预算单位的公用经费标准。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600"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一般公共服务（类）支出197.14</w:t>
      </w:r>
      <w:r>
        <w:rPr>
          <w:rFonts w:hint="eastAsia" w:ascii="仿宋_GB2312" w:hAnsi="黑体" w:eastAsia="仿宋_GB2312"/>
          <w:sz w:val="32"/>
          <w:szCs w:val="32"/>
        </w:rPr>
        <w:t>万元，占75.5%；社会保障和就业支出26.89万元，占10.3%；卫生健康支出21.83万元，占8.4%；住房保障支出15.36万元，占5.8%；农田水支出0万元，占0%。</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600" w:lineRule="exact"/>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、一般公共服务（类）财政事务（款）行政运行（项）2019</w:t>
      </w:r>
      <w:r>
        <w:rPr>
          <w:rFonts w:hint="eastAsia" w:ascii="仿宋_GB2312" w:hAnsi="黑体" w:eastAsia="仿宋_GB2312"/>
          <w:sz w:val="32"/>
          <w:szCs w:val="32"/>
        </w:rPr>
        <w:t>年预算数为177.14万元，比上年预算数</w:t>
      </w:r>
      <w:r>
        <w:rPr>
          <w:rFonts w:hint="eastAsia" w:ascii="仿宋_GB2312" w:hAnsi="黑体" w:eastAsia="仿宋_GB2312" w:cs="仿宋_GB2312"/>
          <w:sz w:val="32"/>
          <w:szCs w:val="32"/>
        </w:rPr>
        <w:t>增加7.64</w:t>
      </w:r>
      <w:r>
        <w:rPr>
          <w:rFonts w:hint="eastAsia" w:ascii="仿宋_GB2312" w:hAnsi="黑体" w:eastAsia="仿宋_GB2312"/>
          <w:sz w:val="32"/>
          <w:szCs w:val="32"/>
        </w:rPr>
        <w:t>万元，主要是因为新的县镇财政体制改革提高了乡镇预算单位的公用经费标准。</w:t>
      </w:r>
    </w:p>
    <w:p>
      <w:pPr>
        <w:spacing w:line="600" w:lineRule="exact"/>
        <w:ind w:firstLine="640" w:firstLineChars="200"/>
        <w:rPr>
          <w:rFonts w:ascii="仿宋_GB2312" w:hAnsi="黑体" w:eastAsia="仿宋_GB2312"/>
          <w:color w:val="FF0000"/>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一般公共服务（类）财政事务（款）其他财政事务支出（项）2019</w:t>
      </w:r>
      <w:r>
        <w:rPr>
          <w:rFonts w:hint="eastAsia" w:ascii="仿宋_GB2312" w:hAnsi="黑体" w:eastAsia="仿宋_GB2312"/>
          <w:sz w:val="32"/>
          <w:szCs w:val="32"/>
        </w:rPr>
        <w:t>年预算数为20万元，比上年预算数</w:t>
      </w:r>
      <w:r>
        <w:rPr>
          <w:rFonts w:hint="eastAsia" w:ascii="仿宋_GB2312" w:hAnsi="黑体" w:eastAsia="仿宋_GB2312" w:cs="仿宋_GB2312"/>
          <w:sz w:val="32"/>
          <w:szCs w:val="32"/>
        </w:rPr>
        <w:t>增加1.5</w:t>
      </w:r>
      <w:r>
        <w:rPr>
          <w:rFonts w:hint="eastAsia" w:ascii="仿宋_GB2312" w:hAnsi="黑体" w:eastAsia="仿宋_GB2312"/>
          <w:sz w:val="32"/>
          <w:szCs w:val="32"/>
        </w:rPr>
        <w:t>万元，主要是因为新的县镇财政体制改革提高了本单位的项目支出标准。</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ascii="仿宋_GB2312" w:hAnsi="黑体" w:eastAsia="仿宋_GB2312" w:cs="仿宋_GB2312"/>
          <w:sz w:val="32"/>
          <w:szCs w:val="32"/>
        </w:rPr>
        <w:t>社会保障和就业支出（类） 行政事业单位离退休（款） 机关事业单位基本养老保险缴费支出（项）2019</w:t>
      </w:r>
      <w:r>
        <w:rPr>
          <w:rFonts w:hint="eastAsia" w:ascii="仿宋_GB2312" w:hAnsi="黑体" w:eastAsia="仿宋_GB2312"/>
          <w:sz w:val="32"/>
          <w:szCs w:val="32"/>
        </w:rPr>
        <w:t>年预算数为26.89万元，比上年预算数增加2.45万元，主要是因为人员工资调资提高缴费标准。</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4、卫生健康支出（类）行政事业单位医疗（款）事业单位医疗（项）2019年预算数为7.73万元，比上年预算数增加0.22万元，</w:t>
      </w:r>
      <w:r>
        <w:rPr>
          <w:rFonts w:hint="eastAsia" w:ascii="仿宋_GB2312" w:hAnsi="黑体" w:eastAsia="仿宋_GB2312"/>
          <w:sz w:val="32"/>
          <w:szCs w:val="32"/>
        </w:rPr>
        <w:t>主要是因为人员工资调资提高缴费标准。</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5、卫生健康支出（类）行政事业单位医疗（款）公务员医疗补助（项）2019年预算数为14.1万元，比上年预算数增加1.61万元，</w:t>
      </w:r>
      <w:r>
        <w:rPr>
          <w:rFonts w:hint="eastAsia" w:ascii="仿宋_GB2312" w:hAnsi="黑体" w:eastAsia="仿宋_GB2312"/>
          <w:sz w:val="32"/>
          <w:szCs w:val="32"/>
        </w:rPr>
        <w:t>主要是因为人员工资调资提高缴费标准。</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6、 住房保障支出（类）住房改革支出（款）住房公积金（项）2019年预算数为15.36万元，比上年预算数增加0.23万元，</w:t>
      </w:r>
      <w:r>
        <w:rPr>
          <w:rFonts w:hint="eastAsia" w:ascii="仿宋_GB2312" w:hAnsi="黑体" w:eastAsia="仿宋_GB2312"/>
          <w:sz w:val="32"/>
          <w:szCs w:val="32"/>
        </w:rPr>
        <w:t>主要是因为人员工资调资提高缴费标准。</w:t>
      </w:r>
    </w:p>
    <w:p>
      <w:pPr>
        <w:ind w:firstLine="640"/>
        <w:rPr>
          <w:rFonts w:ascii="黑体" w:hAnsi="黑体" w:eastAsia="黑体"/>
          <w:sz w:val="32"/>
          <w:szCs w:val="32"/>
        </w:rPr>
      </w:pPr>
      <w:r>
        <w:rPr>
          <w:rFonts w:hint="eastAsia" w:ascii="黑体" w:hAnsi="黑体" w:eastAsia="黑体"/>
          <w:sz w:val="32"/>
          <w:szCs w:val="32"/>
        </w:rPr>
        <w:t>三、关于老城财政所2019年一般公共预算基本支出情况说明</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老城财政所2019年一般公共预算基本支出为241.22万元，其中：</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人员经费214.15万元，主要包括：基本工资、津贴补贴、奖金、其他社会保障缴费、 绩效工资、 机关事业单位基本养老保险缴费、职业年金缴费。</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公用经费27.07万元，主要包括：办公费、咨询费、手续费、水费、电费、邮电费、差旅费、维修(护)费、培训费、工会经费、公务接待费、福利费、其他商品和服务支出。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老城财政所2019</w:t>
      </w:r>
      <w:r>
        <w:rPr>
          <w:rFonts w:hint="eastAsia" w:ascii="黑体" w:hAnsi="黑体" w:eastAsia="黑体"/>
          <w:sz w:val="32"/>
          <w:shd w:val="clear" w:color="auto" w:fill="FFFFFF"/>
        </w:rPr>
        <w:t>年“三公”经费预算情况说明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老城财政所2019年“三公”经费预算数为0万元，其中：</w:t>
      </w:r>
    </w:p>
    <w:p>
      <w:pPr>
        <w:spacing w:line="600" w:lineRule="exact"/>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 xml:space="preserve">    因公出国（境）经费0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p>
    <w:p>
      <w:pPr>
        <w:spacing w:line="600" w:lineRule="exact"/>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公务用车购置及运行维护费0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，公务用车运行维护费0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公务接待费0</w:t>
      </w:r>
      <w:r>
        <w:rPr>
          <w:rFonts w:hint="eastAsia" w:ascii="仿宋_GB2312" w:hAnsi="仿宋_GB2312" w:eastAsia="仿宋_GB2312" w:cs="仿宋_GB2312"/>
          <w:sz w:val="32"/>
          <w:shd w:val="clear" w:color="auto" w:fill="FFFFFF"/>
        </w:rPr>
        <w:t>万元，与上年预算持平。</w:t>
      </w:r>
    </w:p>
    <w:p>
      <w:pPr>
        <w:ind w:firstLine="64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hd w:val="clear" w:color="auto" w:fill="FFFFFF"/>
        </w:rPr>
        <w:t>关于老城</w:t>
      </w:r>
      <w:r>
        <w:rPr>
          <w:rFonts w:hint="eastAsia" w:ascii="黑体" w:hAnsi="黑体" w:eastAsia="黑体"/>
          <w:sz w:val="32"/>
          <w:szCs w:val="32"/>
        </w:rPr>
        <w:t>财政所2019</w:t>
      </w:r>
      <w:r>
        <w:rPr>
          <w:rFonts w:hint="eastAsia" w:ascii="黑体" w:hAnsi="黑体" w:eastAsia="黑体"/>
          <w:sz w:val="32"/>
          <w:shd w:val="clear" w:color="auto" w:fill="FFFFFF"/>
        </w:rPr>
        <w:t>年政府性基金预算当年拨款情况说明</w:t>
      </w:r>
    </w:p>
    <w:p>
      <w:pPr>
        <w:spacing w:line="600" w:lineRule="exact"/>
        <w:ind w:firstLine="640"/>
        <w:jc w:val="left"/>
        <w:rPr>
          <w:rFonts w:ascii="仿宋_GB2312" w:hAnsi="楷体" w:eastAsia="仿宋_GB2312"/>
          <w:sz w:val="32"/>
          <w:szCs w:val="32"/>
        </w:rPr>
      </w:pPr>
      <w:r>
        <w:rPr>
          <w:rFonts w:hint="eastAsia" w:ascii="仿宋_GB2312" w:hAnsi="楷体" w:eastAsia="仿宋_GB2312"/>
          <w:sz w:val="32"/>
          <w:szCs w:val="32"/>
        </w:rPr>
        <w:t>老城财政所2019年政府性基金预算当年拨款0万元，与上年预算数相持平。</w:t>
      </w:r>
    </w:p>
    <w:p>
      <w:pPr>
        <w:ind w:firstLine="643" w:firstLineChars="200"/>
        <w:rPr>
          <w:rFonts w:ascii="仿宋_GB2312" w:hAnsi="楷体" w:eastAsia="仿宋_GB2312"/>
          <w:b/>
          <w:bCs/>
          <w:sz w:val="32"/>
          <w:szCs w:val="32"/>
        </w:rPr>
      </w:pPr>
      <w:r>
        <w:rPr>
          <w:rFonts w:hint="eastAsia" w:ascii="仿宋_GB2312" w:hAnsi="楷体" w:eastAsia="仿宋_GB2312"/>
          <w:b/>
          <w:bCs/>
          <w:sz w:val="32"/>
          <w:szCs w:val="32"/>
        </w:rPr>
        <w:t>（本部门2019年政府性基金未做预算安排。）</w:t>
      </w:r>
    </w:p>
    <w:p>
      <w:pPr>
        <w:ind w:firstLine="64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sz w:val="32"/>
          <w:shd w:val="clear" w:color="auto" w:fill="FFFFFF"/>
        </w:rPr>
        <w:t>关于老城</w:t>
      </w:r>
      <w:r>
        <w:rPr>
          <w:rFonts w:hint="eastAsia" w:ascii="黑体" w:hAnsi="黑体" w:eastAsia="黑体"/>
          <w:sz w:val="32"/>
          <w:szCs w:val="32"/>
        </w:rPr>
        <w:t>财政所2019</w:t>
      </w:r>
      <w:r>
        <w:rPr>
          <w:rFonts w:hint="eastAsia" w:ascii="黑体" w:hAnsi="黑体" w:eastAsia="黑体"/>
          <w:sz w:val="32"/>
          <w:shd w:val="clear" w:color="auto" w:fill="FFFFFF"/>
        </w:rPr>
        <w:t>年收支预算情况的总体说明</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按照综合预算原则，老城财政所所有收入和支出均纳入部门预算管理。收入包括：经费拨款收入</w:t>
      </w:r>
      <w:r>
        <w:rPr>
          <w:rFonts w:hint="eastAsia" w:ascii="仿宋_GB2312" w:hAnsi="黑体" w:eastAsia="仿宋_GB2312"/>
          <w:sz w:val="32"/>
          <w:szCs w:val="32"/>
        </w:rPr>
        <w:t>；支出包括：一般公共服务支出、社会保障和就业支出、卫生健康支出、住房保障支出、农田水支出。老城财政所</w:t>
      </w:r>
      <w:r>
        <w:rPr>
          <w:rFonts w:hint="eastAsia" w:ascii="仿宋_GB2312" w:hAnsi="黑体" w:eastAsia="仿宋_GB2312" w:cs="仿宋_GB2312"/>
          <w:sz w:val="32"/>
          <w:szCs w:val="32"/>
        </w:rPr>
        <w:t>2019</w:t>
      </w:r>
      <w:r>
        <w:rPr>
          <w:rFonts w:hint="eastAsia" w:ascii="仿宋_GB2312" w:hAnsi="黑体" w:eastAsia="仿宋_GB2312"/>
          <w:sz w:val="32"/>
          <w:szCs w:val="32"/>
        </w:rPr>
        <w:t>年收支总预算261.22万元。</w:t>
      </w:r>
    </w:p>
    <w:p>
      <w:pPr>
        <w:ind w:firstLine="640" w:firstLineChars="200"/>
        <w:rPr>
          <w:rFonts w:ascii="黑体" w:hAnsi="黑体" w:eastAsia="黑体"/>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sz w:val="32"/>
          <w:shd w:val="clear" w:color="auto" w:fill="FFFFFF"/>
        </w:rPr>
        <w:t>关于老城</w:t>
      </w:r>
      <w:r>
        <w:rPr>
          <w:rFonts w:hint="eastAsia" w:ascii="黑体" w:hAnsi="黑体" w:eastAsia="黑体"/>
          <w:sz w:val="32"/>
          <w:szCs w:val="32"/>
        </w:rPr>
        <w:t>财政所2019</w:t>
      </w:r>
      <w:r>
        <w:rPr>
          <w:rFonts w:hint="eastAsia" w:ascii="黑体" w:hAnsi="黑体" w:eastAsia="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老城财政所2019</w:t>
      </w:r>
      <w:r>
        <w:rPr>
          <w:rFonts w:hint="eastAsia" w:ascii="仿宋_GB2312" w:hAnsi="黑体" w:eastAsia="仿宋_GB2312"/>
          <w:sz w:val="32"/>
          <w:szCs w:val="32"/>
        </w:rPr>
        <w:t>年收入预算261.22万元，其中：上年结转0万元，占0</w:t>
      </w:r>
      <w:r>
        <w:rPr>
          <w:rFonts w:ascii="仿宋_GB2312" w:hAnsi="黑体" w:eastAsia="仿宋_GB2312"/>
          <w:sz w:val="32"/>
          <w:szCs w:val="32"/>
        </w:rPr>
        <w:t>%</w:t>
      </w:r>
      <w:r>
        <w:rPr>
          <w:rFonts w:hint="eastAsia" w:ascii="仿宋_GB2312" w:hAnsi="黑体" w:eastAsia="仿宋_GB2312"/>
          <w:sz w:val="32"/>
          <w:szCs w:val="32"/>
        </w:rPr>
        <w:t>；一般公共预算收入261.22万元，占100</w:t>
      </w:r>
      <w:r>
        <w:rPr>
          <w:rFonts w:ascii="仿宋_GB2312" w:hAnsi="黑体" w:eastAsia="仿宋_GB2312"/>
          <w:sz w:val="32"/>
          <w:szCs w:val="32"/>
        </w:rPr>
        <w:t>%</w:t>
      </w:r>
      <w:r>
        <w:rPr>
          <w:rFonts w:hint="eastAsia" w:ascii="仿宋_GB2312" w:hAnsi="黑体" w:eastAsia="仿宋_GB2312"/>
          <w:sz w:val="32"/>
          <w:szCs w:val="32"/>
        </w:rPr>
        <w:t>；政府性基金收入0万元，占0</w:t>
      </w:r>
      <w:r>
        <w:rPr>
          <w:rFonts w:ascii="仿宋_GB2312" w:hAnsi="黑体" w:eastAsia="仿宋_GB2312"/>
          <w:sz w:val="32"/>
          <w:szCs w:val="32"/>
        </w:rPr>
        <w:t>%</w:t>
      </w:r>
      <w:r>
        <w:rPr>
          <w:rFonts w:hint="eastAsia" w:ascii="仿宋_GB2312" w:hAnsi="黑体" w:eastAsia="仿宋_GB2312"/>
          <w:sz w:val="32"/>
          <w:szCs w:val="32"/>
        </w:rPr>
        <w:t>；专项收入0万元，占0</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sz w:val="32"/>
          <w:shd w:val="clear" w:color="auto" w:fill="FFFFFF"/>
        </w:rPr>
        <w:t>关于老城</w:t>
      </w:r>
      <w:r>
        <w:rPr>
          <w:rFonts w:hint="eastAsia" w:ascii="黑体" w:hAnsi="黑体" w:eastAsia="黑体"/>
          <w:sz w:val="32"/>
          <w:szCs w:val="32"/>
        </w:rPr>
        <w:t>财政所2019</w:t>
      </w:r>
      <w:r>
        <w:rPr>
          <w:rFonts w:hint="eastAsia" w:ascii="黑体" w:hAnsi="黑体" w:eastAsia="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老城财政所2019</w:t>
      </w:r>
      <w:r>
        <w:rPr>
          <w:rFonts w:hint="eastAsia" w:ascii="仿宋_GB2312" w:hAnsi="黑体" w:eastAsia="仿宋_GB2312"/>
          <w:sz w:val="32"/>
          <w:szCs w:val="32"/>
        </w:rPr>
        <w:t>年支出预算数261.22万元，其中：基本支出241.22万元，占92.3%；项目支出</w:t>
      </w:r>
      <w:r>
        <w:rPr>
          <w:rFonts w:hint="eastAsia" w:ascii="仿宋_GB2312" w:hAnsi="黑体" w:eastAsia="仿宋_GB2312" w:cs="仿宋_GB2312"/>
          <w:sz w:val="32"/>
          <w:szCs w:val="32"/>
        </w:rPr>
        <w:t>20</w:t>
      </w:r>
      <w:r>
        <w:rPr>
          <w:rFonts w:hint="eastAsia" w:ascii="仿宋_GB2312" w:hAnsi="黑体" w:eastAsia="仿宋_GB2312"/>
          <w:sz w:val="32"/>
          <w:szCs w:val="32"/>
        </w:rPr>
        <w:t>万元，占7.7%。</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600" w:lineRule="exact"/>
        <w:ind w:firstLine="64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一</w:t>
      </w:r>
      <w:r>
        <w:rPr>
          <w:rFonts w:ascii="仿宋_GB2312" w:hAnsi="宋体" w:eastAsia="仿宋_GB2312"/>
          <w:sz w:val="32"/>
          <w:szCs w:val="32"/>
        </w:rPr>
        <w:t>)</w:t>
      </w:r>
      <w:r>
        <w:rPr>
          <w:rFonts w:hint="eastAsia" w:ascii="仿宋_GB2312" w:hAnsi="宋体" w:eastAsia="仿宋_GB2312"/>
          <w:sz w:val="32"/>
          <w:szCs w:val="32"/>
        </w:rPr>
        <w:t>机关运行经费</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2019年老城财政所</w:t>
      </w:r>
      <w:r>
        <w:rPr>
          <w:rFonts w:hint="eastAsia" w:ascii="仿宋_GB2312" w:hAnsi="黑体" w:eastAsia="仿宋_GB2312" w:cs="仿宋_GB2312"/>
          <w:sz w:val="32"/>
          <w:szCs w:val="32"/>
        </w:rPr>
        <w:t>本级的机关运行经费预算27.07</w:t>
      </w:r>
      <w:r>
        <w:rPr>
          <w:rFonts w:hint="eastAsia" w:ascii="仿宋_GB2312" w:hAnsi="黑体" w:eastAsia="仿宋_GB2312"/>
          <w:sz w:val="32"/>
          <w:szCs w:val="32"/>
        </w:rPr>
        <w:t>万元。</w:t>
      </w:r>
    </w:p>
    <w:p>
      <w:pPr>
        <w:spacing w:line="600" w:lineRule="exact"/>
        <w:ind w:firstLine="64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二</w:t>
      </w:r>
      <w:r>
        <w:rPr>
          <w:rFonts w:ascii="仿宋_GB2312" w:hAnsi="宋体" w:eastAsia="仿宋_GB2312"/>
          <w:sz w:val="32"/>
          <w:szCs w:val="32"/>
        </w:rPr>
        <w:t>)</w:t>
      </w:r>
      <w:r>
        <w:rPr>
          <w:rFonts w:hint="eastAsia" w:ascii="仿宋_GB2312" w:hAnsi="宋体" w:eastAsia="仿宋_GB2312"/>
          <w:sz w:val="32"/>
          <w:szCs w:val="32"/>
        </w:rPr>
        <w:t>政府采购情况</w:t>
      </w:r>
    </w:p>
    <w:p>
      <w:pPr>
        <w:spacing w:line="600" w:lineRule="exact"/>
        <w:ind w:firstLine="64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2019年老城财政所本级及下属各预算单位政府采购预算总额0</w:t>
      </w:r>
      <w:r>
        <w:rPr>
          <w:rFonts w:hint="eastAsia" w:ascii="仿宋_GB2312" w:hAnsi="黑体" w:eastAsia="仿宋_GB2312"/>
          <w:color w:val="000000" w:themeColor="text1"/>
          <w:sz w:val="32"/>
          <w:szCs w:val="32"/>
        </w:rPr>
        <w:t>万元</w:t>
      </w:r>
      <w:r>
        <w:rPr>
          <w:rFonts w:hint="eastAsia" w:ascii="仿宋_GB2312" w:hAnsi="楷体" w:eastAsia="仿宋_GB2312"/>
          <w:color w:val="000000" w:themeColor="text1"/>
          <w:sz w:val="32"/>
          <w:szCs w:val="32"/>
        </w:rPr>
        <w:t>。</w:t>
      </w:r>
    </w:p>
    <w:p>
      <w:pPr>
        <w:spacing w:line="600" w:lineRule="exact"/>
        <w:ind w:firstLine="64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三</w:t>
      </w:r>
      <w:r>
        <w:rPr>
          <w:rFonts w:ascii="仿宋_GB2312" w:hAnsi="宋体" w:eastAsia="仿宋_GB2312"/>
          <w:sz w:val="32"/>
          <w:szCs w:val="32"/>
        </w:rPr>
        <w:t>)</w:t>
      </w:r>
      <w:r>
        <w:rPr>
          <w:rFonts w:hint="eastAsia" w:ascii="仿宋_GB2312" w:hAnsi="宋体" w:eastAsia="仿宋_GB2312"/>
          <w:sz w:val="32"/>
          <w:szCs w:val="32"/>
        </w:rPr>
        <w:t>国有资产占有使用情况</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截至2018</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日，老城财政所</w:t>
      </w:r>
      <w:r>
        <w:rPr>
          <w:rFonts w:hint="eastAsia" w:ascii="仿宋_GB2312" w:hAnsi="黑体" w:eastAsia="仿宋_GB2312" w:cs="仿宋_GB2312"/>
          <w:sz w:val="32"/>
          <w:szCs w:val="32"/>
        </w:rPr>
        <w:t>本级及下属各预算单位共有车辆0辆，其中，领导干部用车0辆，机要通信应急用车0辆、一般执法执勤用车0辆、特种专业技术用车0辆、其他用车0辆。单位价值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2019年老城</w:t>
      </w:r>
      <w:r>
        <w:rPr>
          <w:rFonts w:hint="eastAsia" w:ascii="仿宋_GB2312" w:hAnsi="黑体" w:eastAsia="仿宋_GB2312"/>
          <w:sz w:val="32"/>
          <w:szCs w:val="32"/>
        </w:rPr>
        <w:t>财政所</w:t>
      </w:r>
      <w:r>
        <w:rPr>
          <w:rFonts w:hint="eastAsia" w:ascii="仿宋_GB2312" w:hAnsi="黑体" w:eastAsia="仿宋_GB2312" w:cs="仿宋_GB2312"/>
          <w:sz w:val="32"/>
          <w:szCs w:val="32"/>
        </w:rPr>
        <w:t>本级0个项目实行绩效目标管理，涉及一般公共预算0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64694"/>
    <w:rsid w:val="001326C1"/>
    <w:rsid w:val="00173B57"/>
    <w:rsid w:val="001751CC"/>
    <w:rsid w:val="001A7472"/>
    <w:rsid w:val="001C54A7"/>
    <w:rsid w:val="001E5719"/>
    <w:rsid w:val="002530AD"/>
    <w:rsid w:val="00283E6E"/>
    <w:rsid w:val="002905B9"/>
    <w:rsid w:val="00293316"/>
    <w:rsid w:val="002956BC"/>
    <w:rsid w:val="002A59FA"/>
    <w:rsid w:val="002E73B0"/>
    <w:rsid w:val="0031412B"/>
    <w:rsid w:val="00343757"/>
    <w:rsid w:val="003847B6"/>
    <w:rsid w:val="003F0AAE"/>
    <w:rsid w:val="00404FE2"/>
    <w:rsid w:val="004313AB"/>
    <w:rsid w:val="004522A5"/>
    <w:rsid w:val="00474F12"/>
    <w:rsid w:val="004A1C49"/>
    <w:rsid w:val="004B0E53"/>
    <w:rsid w:val="0050620D"/>
    <w:rsid w:val="005114F4"/>
    <w:rsid w:val="00516C26"/>
    <w:rsid w:val="00525863"/>
    <w:rsid w:val="00537B3F"/>
    <w:rsid w:val="0055027D"/>
    <w:rsid w:val="00550D9A"/>
    <w:rsid w:val="00553A5A"/>
    <w:rsid w:val="0059423F"/>
    <w:rsid w:val="005C2065"/>
    <w:rsid w:val="00634D3B"/>
    <w:rsid w:val="00640059"/>
    <w:rsid w:val="006701C3"/>
    <w:rsid w:val="00683025"/>
    <w:rsid w:val="006871F7"/>
    <w:rsid w:val="006B1FB3"/>
    <w:rsid w:val="00750638"/>
    <w:rsid w:val="0075151D"/>
    <w:rsid w:val="007523E7"/>
    <w:rsid w:val="00753A2B"/>
    <w:rsid w:val="00786240"/>
    <w:rsid w:val="00793A7F"/>
    <w:rsid w:val="007A50CD"/>
    <w:rsid w:val="007B3322"/>
    <w:rsid w:val="007E4EAF"/>
    <w:rsid w:val="009023DE"/>
    <w:rsid w:val="009262C2"/>
    <w:rsid w:val="00926751"/>
    <w:rsid w:val="00947538"/>
    <w:rsid w:val="009616E6"/>
    <w:rsid w:val="009846A5"/>
    <w:rsid w:val="00995DA5"/>
    <w:rsid w:val="009C1F49"/>
    <w:rsid w:val="009D3744"/>
    <w:rsid w:val="009F52FB"/>
    <w:rsid w:val="00A545A0"/>
    <w:rsid w:val="00B7787C"/>
    <w:rsid w:val="00B9481B"/>
    <w:rsid w:val="00BC67C8"/>
    <w:rsid w:val="00BD3D63"/>
    <w:rsid w:val="00BF5FEE"/>
    <w:rsid w:val="00C0191B"/>
    <w:rsid w:val="00C91D51"/>
    <w:rsid w:val="00CA7DBE"/>
    <w:rsid w:val="00CD7757"/>
    <w:rsid w:val="00D94986"/>
    <w:rsid w:val="00DC65EF"/>
    <w:rsid w:val="00DD3FD8"/>
    <w:rsid w:val="00E11343"/>
    <w:rsid w:val="00E15F6C"/>
    <w:rsid w:val="00E3389C"/>
    <w:rsid w:val="00E73A4A"/>
    <w:rsid w:val="00E76E8A"/>
    <w:rsid w:val="00EC691B"/>
    <w:rsid w:val="00ED10EE"/>
    <w:rsid w:val="00ED50D0"/>
    <w:rsid w:val="00ED6580"/>
    <w:rsid w:val="00F179E0"/>
    <w:rsid w:val="00F81787"/>
    <w:rsid w:val="00F90B27"/>
    <w:rsid w:val="00F91B44"/>
    <w:rsid w:val="00FB0A31"/>
    <w:rsid w:val="00FF3698"/>
    <w:rsid w:val="01732C8D"/>
    <w:rsid w:val="01B07B15"/>
    <w:rsid w:val="02667B0F"/>
    <w:rsid w:val="03861507"/>
    <w:rsid w:val="05562D81"/>
    <w:rsid w:val="07793B23"/>
    <w:rsid w:val="083505B0"/>
    <w:rsid w:val="08572A31"/>
    <w:rsid w:val="08C63992"/>
    <w:rsid w:val="0B21334F"/>
    <w:rsid w:val="0B3D05E7"/>
    <w:rsid w:val="0BFC5C57"/>
    <w:rsid w:val="0C5E640F"/>
    <w:rsid w:val="0F473282"/>
    <w:rsid w:val="10DB6407"/>
    <w:rsid w:val="13B676AE"/>
    <w:rsid w:val="16EB6FA8"/>
    <w:rsid w:val="1720047B"/>
    <w:rsid w:val="173E7E63"/>
    <w:rsid w:val="1B174388"/>
    <w:rsid w:val="1B7B6F58"/>
    <w:rsid w:val="1D66696C"/>
    <w:rsid w:val="20456CD0"/>
    <w:rsid w:val="206F5110"/>
    <w:rsid w:val="218457D9"/>
    <w:rsid w:val="220B447C"/>
    <w:rsid w:val="2373723E"/>
    <w:rsid w:val="284D282B"/>
    <w:rsid w:val="28B960E6"/>
    <w:rsid w:val="2D8943F1"/>
    <w:rsid w:val="2EAA0AA8"/>
    <w:rsid w:val="2FB5589F"/>
    <w:rsid w:val="2FBF5C85"/>
    <w:rsid w:val="2FD56F1E"/>
    <w:rsid w:val="305E4DA2"/>
    <w:rsid w:val="32D9727E"/>
    <w:rsid w:val="33501002"/>
    <w:rsid w:val="33D56A07"/>
    <w:rsid w:val="36496D1B"/>
    <w:rsid w:val="382D4C25"/>
    <w:rsid w:val="3846418E"/>
    <w:rsid w:val="396523CB"/>
    <w:rsid w:val="3BB46FB6"/>
    <w:rsid w:val="3BCB6D63"/>
    <w:rsid w:val="3D377D33"/>
    <w:rsid w:val="3E0C7E57"/>
    <w:rsid w:val="3EEB01CD"/>
    <w:rsid w:val="3EF00B8F"/>
    <w:rsid w:val="41867682"/>
    <w:rsid w:val="428A604F"/>
    <w:rsid w:val="42C455CE"/>
    <w:rsid w:val="430552B8"/>
    <w:rsid w:val="43C457FB"/>
    <w:rsid w:val="4665489C"/>
    <w:rsid w:val="482A21AC"/>
    <w:rsid w:val="4A9B1912"/>
    <w:rsid w:val="4B887233"/>
    <w:rsid w:val="4CB6281F"/>
    <w:rsid w:val="50230C90"/>
    <w:rsid w:val="50426957"/>
    <w:rsid w:val="5099040D"/>
    <w:rsid w:val="51152CEA"/>
    <w:rsid w:val="52BA3E42"/>
    <w:rsid w:val="54603630"/>
    <w:rsid w:val="569B3517"/>
    <w:rsid w:val="592202A2"/>
    <w:rsid w:val="599331A9"/>
    <w:rsid w:val="59FA4FAF"/>
    <w:rsid w:val="5A811E0C"/>
    <w:rsid w:val="5C312823"/>
    <w:rsid w:val="5DEB7477"/>
    <w:rsid w:val="5FF05EC0"/>
    <w:rsid w:val="606B19DC"/>
    <w:rsid w:val="60711812"/>
    <w:rsid w:val="608811B5"/>
    <w:rsid w:val="62026120"/>
    <w:rsid w:val="629B6555"/>
    <w:rsid w:val="63870DA1"/>
    <w:rsid w:val="640E5836"/>
    <w:rsid w:val="64711B57"/>
    <w:rsid w:val="67E07A59"/>
    <w:rsid w:val="68903084"/>
    <w:rsid w:val="68B72D9B"/>
    <w:rsid w:val="68F15824"/>
    <w:rsid w:val="68F16598"/>
    <w:rsid w:val="69787FA7"/>
    <w:rsid w:val="6A923047"/>
    <w:rsid w:val="6B604552"/>
    <w:rsid w:val="6BA54E1B"/>
    <w:rsid w:val="6BAE0474"/>
    <w:rsid w:val="6C936860"/>
    <w:rsid w:val="6D021B9D"/>
    <w:rsid w:val="6E7B172D"/>
    <w:rsid w:val="6EE82FF7"/>
    <w:rsid w:val="6F6D4B28"/>
    <w:rsid w:val="71855101"/>
    <w:rsid w:val="7221240C"/>
    <w:rsid w:val="729A0E2B"/>
    <w:rsid w:val="767C7ABE"/>
    <w:rsid w:val="78365D34"/>
    <w:rsid w:val="7AFB3F79"/>
    <w:rsid w:val="7BCB54A3"/>
    <w:rsid w:val="7C394D42"/>
    <w:rsid w:val="7C782E40"/>
    <w:rsid w:val="7EDE7C0A"/>
    <w:rsid w:val="7F946E5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620</Words>
  <Characters>3540</Characters>
  <Lines>29</Lines>
  <Paragraphs>8</Paragraphs>
  <TotalTime>0</TotalTime>
  <ScaleCrop>false</ScaleCrop>
  <LinksUpToDate>false</LinksUpToDate>
  <CharactersWithSpaces>4152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2019-07-16T09:03:00Z</cp:lastPrinted>
  <dcterms:modified xsi:type="dcterms:W3CDTF">2019-07-19T07:08:19Z</dcterms:modified>
  <dc:title>××年××部门预算</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