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黑体" w:eastAsia="方正小标宋简体"/>
          <w:b/>
          <w:bCs/>
          <w:spacing w:val="0"/>
          <w:sz w:val="36"/>
          <w:szCs w:val="36"/>
        </w:rPr>
      </w:pPr>
      <w:r>
        <w:rPr>
          <w:rFonts w:hint="eastAsia" w:ascii="方正小标宋简体" w:hAnsi="黑体" w:eastAsia="方正小标宋简体"/>
          <w:b/>
          <w:bCs/>
          <w:spacing w:val="0"/>
          <w:sz w:val="36"/>
          <w:szCs w:val="36"/>
        </w:rPr>
        <w:t>《海南自由贸易港老城科技新城条例（</w:t>
      </w:r>
      <w:r>
        <w:rPr>
          <w:rFonts w:hint="eastAsia" w:ascii="方正小标宋简体" w:hAnsi="黑体" w:eastAsia="方正小标宋简体"/>
          <w:b/>
          <w:bCs/>
          <w:spacing w:val="0"/>
          <w:sz w:val="36"/>
          <w:szCs w:val="36"/>
          <w:lang w:val="en-US" w:eastAsia="zh-CN"/>
        </w:rPr>
        <w:t>征求意见稿</w:t>
      </w:r>
      <w:r>
        <w:rPr>
          <w:rFonts w:hint="eastAsia" w:ascii="方正小标宋简体" w:hAnsi="黑体" w:eastAsia="方正小标宋简体"/>
          <w:b/>
          <w:bCs/>
          <w:spacing w:val="0"/>
          <w:sz w:val="36"/>
          <w:szCs w:val="36"/>
        </w:rPr>
        <w:t>）》</w:t>
      </w:r>
    </w:p>
    <w:p>
      <w:pPr>
        <w:spacing w:line="700" w:lineRule="exact"/>
        <w:rPr>
          <w:rFonts w:ascii="方正小标宋简体" w:hAnsi="黑体" w:eastAsia="方正小标宋简体"/>
          <w:b/>
          <w:bCs/>
          <w:spacing w:val="-10"/>
          <w:sz w:val="42"/>
          <w:szCs w:val="42"/>
        </w:rPr>
      </w:pP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第一条</w:t>
      </w:r>
      <w:r>
        <w:rPr>
          <w:rFonts w:hint="eastAsia" w:ascii="仿宋_GB2312" w:hAnsi="宋体"/>
          <w:b/>
          <w:bCs/>
          <w:spacing w:val="0"/>
          <w:sz w:val="30"/>
          <w:szCs w:val="30"/>
        </w:rPr>
        <w:t xml:space="preserve">【立法目的】 </w:t>
      </w:r>
      <w:r>
        <w:rPr>
          <w:rFonts w:hint="eastAsia" w:ascii="仿宋_GB2312" w:hAnsi="宋体"/>
          <w:spacing w:val="0"/>
          <w:sz w:val="30"/>
          <w:szCs w:val="30"/>
        </w:rPr>
        <w:t>为了促进海南自由贸易港老城科技新城高质量发展，根据有关法律法规，结合海南自由贸易港及老城科技新城实际，制定本条例。</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 xml:space="preserve">第二条 </w:t>
      </w:r>
      <w:r>
        <w:rPr>
          <w:rFonts w:hint="eastAsia" w:ascii="仿宋_GB2312" w:hAnsi="宋体"/>
          <w:b/>
          <w:bCs/>
          <w:spacing w:val="0"/>
          <w:sz w:val="30"/>
          <w:szCs w:val="30"/>
        </w:rPr>
        <w:t>【范围与产业定位】</w:t>
      </w:r>
      <w:r>
        <w:rPr>
          <w:rFonts w:ascii="仿宋_GB2312" w:hAnsi="宋体"/>
          <w:b/>
          <w:bCs/>
          <w:spacing w:val="0"/>
          <w:sz w:val="30"/>
          <w:szCs w:val="30"/>
        </w:rPr>
        <w:t xml:space="preserve"> </w:t>
      </w:r>
      <w:r>
        <w:rPr>
          <w:rFonts w:hint="eastAsia" w:ascii="仿宋_GB2312" w:hAnsi="宋体"/>
          <w:spacing w:val="0"/>
          <w:sz w:val="30"/>
          <w:szCs w:val="30"/>
        </w:rPr>
        <w:t>老城科技新城管理区域包括</w:t>
      </w:r>
      <w:r>
        <w:rPr>
          <w:rFonts w:hint="eastAsia" w:ascii="仿宋_GB2312" w:hAnsi="宋体"/>
          <w:spacing w:val="0"/>
          <w:sz w:val="30"/>
          <w:szCs w:val="30"/>
          <w:highlight w:val="none"/>
          <w:lang w:val="en-US" w:eastAsia="zh-CN"/>
        </w:rPr>
        <w:t>原</w:t>
      </w:r>
      <w:r>
        <w:rPr>
          <w:rFonts w:hint="eastAsia" w:ascii="仿宋_GB2312" w:hAnsi="宋体"/>
          <w:spacing w:val="0"/>
          <w:sz w:val="30"/>
          <w:szCs w:val="30"/>
        </w:rPr>
        <w:t>老城经济开发区、海南生态软件园、金马现代物流园等片区，具体范围由澄迈县人民政府依照有关程序划定、调整并公布。</w:t>
      </w:r>
    </w:p>
    <w:p>
      <w:pPr>
        <w:snapToGrid w:val="0"/>
        <w:spacing w:line="590" w:lineRule="exact"/>
        <w:ind w:firstLine="606" w:firstLineChars="200"/>
        <w:rPr>
          <w:rFonts w:ascii="仿宋_GB2312" w:hAnsi="宋体"/>
          <w:spacing w:val="0"/>
          <w:sz w:val="30"/>
          <w:szCs w:val="30"/>
        </w:rPr>
      </w:pPr>
      <w:r>
        <w:rPr>
          <w:rFonts w:hint="eastAsia" w:ascii="仿宋_GB2312" w:hAnsi="宋体"/>
          <w:spacing w:val="0"/>
          <w:sz w:val="30"/>
          <w:szCs w:val="30"/>
        </w:rPr>
        <w:t>老城科技新城应当按照海南自由贸易港建设的有关要求，创新体制机制，提高全要素生产率，在国际合作、开发建设、产业发展、投资促进、产城融合、制度创新等方面先行先试，构建以油气勘探生产服务、数字经济、现代物流、绿色制造等为重点的产业集群，打造现代产业体系创新发展集聚区。</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第三条</w:t>
      </w:r>
      <w:r>
        <w:rPr>
          <w:rFonts w:ascii="黑体" w:hAnsi="宋体" w:eastAsia="黑体"/>
          <w:b/>
          <w:bCs/>
          <w:spacing w:val="0"/>
          <w:sz w:val="30"/>
          <w:szCs w:val="30"/>
        </w:rPr>
        <w:t xml:space="preserve"> </w:t>
      </w:r>
      <w:r>
        <w:rPr>
          <w:rFonts w:hint="eastAsia" w:ascii="仿宋_GB2312" w:hAnsi="宋体"/>
          <w:b/>
          <w:bCs/>
          <w:spacing w:val="0"/>
          <w:sz w:val="30"/>
          <w:szCs w:val="30"/>
        </w:rPr>
        <w:t xml:space="preserve">【管理机制】 </w:t>
      </w:r>
      <w:r>
        <w:rPr>
          <w:rFonts w:hint="eastAsia" w:ascii="仿宋_GB2312" w:hAnsi="宋体"/>
          <w:spacing w:val="0"/>
          <w:sz w:val="30"/>
          <w:szCs w:val="30"/>
        </w:rPr>
        <w:t>省人民政府应当加强对老城科技新城的领导，协调解决建设发展中的重大问题。</w:t>
      </w:r>
    </w:p>
    <w:p>
      <w:pPr>
        <w:snapToGrid w:val="0"/>
        <w:spacing w:line="590" w:lineRule="exact"/>
        <w:ind w:firstLine="606" w:firstLineChars="200"/>
        <w:rPr>
          <w:rFonts w:ascii="仿宋_GB2312" w:hAnsi="宋体"/>
          <w:spacing w:val="0"/>
          <w:sz w:val="30"/>
          <w:szCs w:val="30"/>
        </w:rPr>
      </w:pPr>
      <w:r>
        <w:rPr>
          <w:rFonts w:hint="eastAsia" w:ascii="仿宋_GB2312" w:hAnsi="宋体"/>
          <w:spacing w:val="0"/>
          <w:sz w:val="30"/>
          <w:szCs w:val="30"/>
        </w:rPr>
        <w:t>省人民政府在老城科技新城依法设立</w:t>
      </w:r>
      <w:r>
        <w:rPr>
          <w:rFonts w:hint="eastAsia" w:ascii="仿宋_GB2312" w:hAnsi="宋体"/>
          <w:color w:val="auto"/>
          <w:spacing w:val="0"/>
          <w:sz w:val="30"/>
          <w:szCs w:val="30"/>
        </w:rPr>
        <w:t>海南老城科技新城管理委员会。海南老城科技新城管理委员会与</w:t>
      </w:r>
      <w:r>
        <w:rPr>
          <w:rFonts w:hint="eastAsia" w:ascii="仿宋_GB2312" w:hAnsi="宋体"/>
          <w:spacing w:val="0"/>
          <w:sz w:val="30"/>
          <w:szCs w:val="30"/>
        </w:rPr>
        <w:t>澄迈县人民政府合署办公，实行政区一体化发展。</w:t>
      </w:r>
    </w:p>
    <w:p>
      <w:pPr>
        <w:snapToGrid w:val="0"/>
        <w:spacing w:line="590" w:lineRule="exact"/>
        <w:ind w:firstLine="606" w:firstLineChars="200"/>
        <w:rPr>
          <w:rFonts w:ascii="仿宋_GB2312" w:hAnsi="宋体"/>
          <w:spacing w:val="0"/>
          <w:sz w:val="30"/>
          <w:szCs w:val="30"/>
        </w:rPr>
      </w:pPr>
      <w:r>
        <w:rPr>
          <w:rFonts w:hint="eastAsia" w:ascii="仿宋_GB2312" w:hAnsi="宋体"/>
          <w:spacing w:val="0"/>
          <w:sz w:val="30"/>
          <w:szCs w:val="30"/>
        </w:rPr>
        <w:t>老城科技新城所在地的乡镇人民政府及县相关职能部门承担老城科技新城的社会管理和公共服务等职责，为老城科技新城建设和发展提供空间保障，营造优质人才服务和生产生活环境。</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 xml:space="preserve">第四条 </w:t>
      </w:r>
      <w:r>
        <w:rPr>
          <w:rFonts w:hint="eastAsia" w:ascii="仿宋_GB2312" w:hAnsi="宋体"/>
          <w:b/>
          <w:bCs/>
          <w:spacing w:val="0"/>
          <w:sz w:val="30"/>
          <w:szCs w:val="30"/>
        </w:rPr>
        <w:t>【运行模式】</w:t>
      </w:r>
      <w:r>
        <w:rPr>
          <w:rFonts w:hint="eastAsia" w:ascii="仿宋_GB2312" w:hAnsi="宋体"/>
          <w:spacing w:val="0"/>
          <w:sz w:val="30"/>
          <w:szCs w:val="30"/>
        </w:rPr>
        <w:t xml:space="preserve"> 老城科技新城实行“管理机构+平台公司”运行的模式。</w:t>
      </w:r>
    </w:p>
    <w:p>
      <w:pPr>
        <w:snapToGrid w:val="0"/>
        <w:spacing w:line="590" w:lineRule="exact"/>
        <w:ind w:firstLine="606" w:firstLineChars="200"/>
        <w:rPr>
          <w:rFonts w:ascii="仿宋_GB2312" w:hAnsi="宋体"/>
          <w:spacing w:val="0"/>
          <w:sz w:val="30"/>
          <w:szCs w:val="30"/>
        </w:rPr>
      </w:pPr>
      <w:r>
        <w:rPr>
          <w:rFonts w:hint="eastAsia" w:ascii="仿宋_GB2312" w:hAnsi="宋体"/>
          <w:color w:val="auto"/>
          <w:spacing w:val="0"/>
          <w:sz w:val="30"/>
          <w:szCs w:val="30"/>
        </w:rPr>
        <w:t>海南老城科技新城管理委员会是老</w:t>
      </w:r>
      <w:r>
        <w:rPr>
          <w:rFonts w:hint="eastAsia" w:ascii="仿宋_GB2312" w:hAnsi="宋体"/>
          <w:spacing w:val="0"/>
          <w:sz w:val="30"/>
          <w:szCs w:val="30"/>
        </w:rPr>
        <w:t>城科技新城的管理机构，主要履行老城科技新城的组织领导、发展规划、协调服务、项目审批、优化营商环境等职责，制定老城科技新城发展建设规划，协调做好市场资源要素配置，指导平台公司推进项目落地。</w:t>
      </w:r>
    </w:p>
    <w:p>
      <w:pPr>
        <w:snapToGrid w:val="0"/>
        <w:spacing w:line="590" w:lineRule="exact"/>
        <w:ind w:firstLine="606" w:firstLineChars="200"/>
        <w:rPr>
          <w:rFonts w:ascii="仿宋_GB2312" w:hAnsi="宋体"/>
          <w:spacing w:val="0"/>
          <w:sz w:val="30"/>
          <w:szCs w:val="30"/>
        </w:rPr>
      </w:pPr>
      <w:r>
        <w:rPr>
          <w:rFonts w:hint="eastAsia" w:ascii="仿宋_GB2312" w:hAnsi="宋体"/>
          <w:spacing w:val="0"/>
          <w:sz w:val="30"/>
          <w:szCs w:val="30"/>
        </w:rPr>
        <w:t>平台公司负责招商引资、运行管理、产业发展、投资促进、企业服务等开发建设工作，实行市场化的薪酬制度。</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spacing w:val="0"/>
          <w:sz w:val="30"/>
          <w:szCs w:val="30"/>
        </w:rPr>
        <w:t>第五条</w:t>
      </w:r>
      <w:r>
        <w:rPr>
          <w:rFonts w:ascii="黑体" w:hAnsi="宋体" w:eastAsia="黑体"/>
          <w:b/>
          <w:bCs/>
          <w:spacing w:val="0"/>
          <w:sz w:val="30"/>
          <w:szCs w:val="30"/>
        </w:rPr>
        <w:t xml:space="preserve"> </w:t>
      </w:r>
      <w:r>
        <w:rPr>
          <w:rFonts w:hint="eastAsia" w:ascii="仿宋_GB2312" w:hAnsi="宋体"/>
          <w:b/>
          <w:bCs/>
          <w:spacing w:val="0"/>
          <w:sz w:val="30"/>
          <w:szCs w:val="30"/>
        </w:rPr>
        <w:t xml:space="preserve">【审批权限】 </w:t>
      </w:r>
      <w:r>
        <w:rPr>
          <w:rFonts w:hint="eastAsia" w:ascii="仿宋_GB2312" w:hAnsi="宋体"/>
          <w:spacing w:val="0"/>
          <w:sz w:val="30"/>
          <w:szCs w:val="30"/>
        </w:rPr>
        <w:t>省人民政府及其有关部门应当根据实际需要依法</w:t>
      </w:r>
      <w:r>
        <w:rPr>
          <w:rFonts w:hint="eastAsia" w:ascii="仿宋_GB2312" w:hAnsi="宋体"/>
          <w:color w:val="auto"/>
          <w:spacing w:val="0"/>
          <w:sz w:val="30"/>
          <w:szCs w:val="30"/>
        </w:rPr>
        <w:t>将土</w:t>
      </w:r>
      <w:r>
        <w:rPr>
          <w:rFonts w:hint="eastAsia" w:ascii="仿宋_GB2312" w:hAnsi="宋体"/>
          <w:color w:val="auto"/>
          <w:spacing w:val="0"/>
          <w:sz w:val="30"/>
          <w:szCs w:val="30"/>
        </w:rPr>
        <w:t>地一级开发、城镇开发边界调整、招商引资、海外投资、基金备案、创业投资企业监管等重要事项的审批权限下放或者委托至老城科技新城，依托澄迈县人民政府及其组成部门在老城科技新城范围内行使。不宜下放或者委托行使的管理权限，省人民政府及其有关部门可以按照规定在老城科技新城设立驻区机构。</w:t>
      </w:r>
    </w:p>
    <w:p>
      <w:pPr>
        <w:snapToGrid w:val="0"/>
        <w:spacing w:line="590" w:lineRule="exact"/>
        <w:ind w:firstLine="606" w:firstLineChars="200"/>
        <w:rPr>
          <w:rFonts w:ascii="仿宋_GB2312" w:hAnsi="宋体"/>
          <w:spacing w:val="0"/>
          <w:sz w:val="30"/>
          <w:szCs w:val="30"/>
        </w:rPr>
      </w:pPr>
      <w:r>
        <w:rPr>
          <w:rFonts w:hint="eastAsia" w:ascii="仿宋_GB2312" w:hAnsi="宋体"/>
          <w:color w:val="auto"/>
          <w:spacing w:val="0"/>
          <w:sz w:val="30"/>
          <w:szCs w:val="30"/>
        </w:rPr>
        <w:t>省人民政府有关部门、驻区机构、海南老城科技新城管理委员会应当明确在老城科技新城的管理权</w:t>
      </w:r>
      <w:r>
        <w:rPr>
          <w:rFonts w:hint="eastAsia" w:ascii="仿宋_GB2312" w:hAnsi="宋体"/>
          <w:spacing w:val="0"/>
          <w:sz w:val="30"/>
          <w:szCs w:val="30"/>
        </w:rPr>
        <w:t>限，依法编制权力清单、责任清单，并在责任清单中明确相应事中事后监管职责，经批准后向社会公布。</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spacing w:val="0"/>
          <w:sz w:val="30"/>
          <w:szCs w:val="30"/>
        </w:rPr>
        <w:t>第六条</w:t>
      </w:r>
      <w:r>
        <w:rPr>
          <w:rFonts w:ascii="黑体" w:hAnsi="宋体" w:eastAsia="黑体"/>
          <w:b/>
          <w:bCs/>
          <w:spacing w:val="0"/>
          <w:sz w:val="30"/>
          <w:szCs w:val="30"/>
        </w:rPr>
        <w:t xml:space="preserve"> </w:t>
      </w:r>
      <w:r>
        <w:rPr>
          <w:rFonts w:hint="eastAsia" w:ascii="仿宋_GB2312" w:hAnsi="宋体"/>
          <w:b/>
          <w:bCs/>
          <w:spacing w:val="0"/>
          <w:sz w:val="30"/>
          <w:szCs w:val="30"/>
        </w:rPr>
        <w:t>【要素支持】</w:t>
      </w:r>
      <w:r>
        <w:rPr>
          <w:rFonts w:hint="eastAsia" w:ascii="仿宋_GB2312" w:hAnsi="宋体"/>
          <w:spacing w:val="0"/>
          <w:sz w:val="30"/>
          <w:szCs w:val="30"/>
        </w:rPr>
        <w:t xml:space="preserve"> </w:t>
      </w:r>
      <w:r>
        <w:rPr>
          <w:rFonts w:hint="eastAsia" w:ascii="仿宋_GB2312" w:hAnsi="宋体"/>
          <w:color w:val="auto"/>
          <w:spacing w:val="0"/>
          <w:sz w:val="30"/>
          <w:szCs w:val="30"/>
        </w:rPr>
        <w:t>老城科技新城纳入海南自由贸易港重点园区管理。海南老城科技新城管理委员会应当在省人民政府的指导下，自主决定老城科技新城范围内招商引资、建设与发展等项目的安排。</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spacing w:val="0"/>
          <w:sz w:val="30"/>
          <w:szCs w:val="30"/>
        </w:rPr>
        <w:t>省人民政府及其有关部门应当在制度创新、基础设施建设、产业发展、土</w:t>
      </w:r>
      <w:r>
        <w:rPr>
          <w:rFonts w:hint="eastAsia" w:ascii="仿宋_GB2312" w:hAnsi="宋体"/>
          <w:color w:val="auto"/>
          <w:spacing w:val="0"/>
          <w:sz w:val="30"/>
          <w:szCs w:val="30"/>
        </w:rPr>
        <w:t>地、规划、财税、金融、海域使用、城市更新和人才引进等方面支持老城科技新城的建设与发展。</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省人民政府及其部门应当在统筹安排年度新增建设用地计划指标、耕地林地跨区域占补平衡指标、碳排放指标、产业扶持资金等方面，优先保障老城科技新城重点产业、重点项目。</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spacing w:val="0"/>
          <w:sz w:val="30"/>
          <w:szCs w:val="30"/>
        </w:rPr>
        <w:t xml:space="preserve">第七条 </w:t>
      </w:r>
      <w:r>
        <w:rPr>
          <w:rFonts w:hint="eastAsia" w:ascii="仿宋_GB2312" w:hAnsi="宋体"/>
          <w:b/>
          <w:bCs/>
          <w:spacing w:val="0"/>
          <w:sz w:val="30"/>
          <w:szCs w:val="30"/>
        </w:rPr>
        <w:t>【规划编制】</w:t>
      </w:r>
      <w:r>
        <w:rPr>
          <w:rFonts w:hint="eastAsia" w:ascii="仿宋_GB2312" w:hAnsi="宋体"/>
          <w:color w:val="auto"/>
          <w:spacing w:val="0"/>
          <w:sz w:val="30"/>
          <w:szCs w:val="30"/>
        </w:rPr>
        <w:t xml:space="preserve"> 海南老城科技新城管理委员会根据海南省及澄迈县国民经济和社会发展规划、国土空间总体规划等，组织编制产业发展规划、详细规划及相关专项规划等，按照有关规定经批准后实施。</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鼓励海南老城科技新城管理委员会创新规划编制方式和管理体制，简化控制性详细规划动态调整实施机制，结合园区发展实际需求，自主调整建筑密度、建筑高度、绿地率等指标。</w:t>
      </w:r>
    </w:p>
    <w:p>
      <w:pPr>
        <w:snapToGrid w:val="0"/>
        <w:spacing w:line="590" w:lineRule="exact"/>
        <w:ind w:firstLine="606" w:firstLineChars="200"/>
        <w:rPr>
          <w:rFonts w:ascii="仿宋_GB2312" w:hAnsi="宋体"/>
          <w:spacing w:val="0"/>
          <w:sz w:val="30"/>
          <w:szCs w:val="30"/>
        </w:rPr>
      </w:pPr>
      <w:r>
        <w:rPr>
          <w:rFonts w:hint="eastAsia" w:ascii="仿宋_GB2312" w:hAnsi="宋体"/>
          <w:spacing w:val="0"/>
          <w:sz w:val="30"/>
          <w:szCs w:val="30"/>
        </w:rPr>
        <w:t>老城科技新城周边地区相关规划应当与老城科技新城的产业发展规划、详细规划及相关专项规划等相衔接。</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 xml:space="preserve">第八条 </w:t>
      </w:r>
      <w:r>
        <w:rPr>
          <w:rFonts w:hint="eastAsia" w:ascii="仿宋_GB2312" w:hAnsi="宋体"/>
          <w:b/>
          <w:bCs/>
          <w:spacing w:val="0"/>
          <w:sz w:val="30"/>
          <w:szCs w:val="30"/>
        </w:rPr>
        <w:t>【土地盘活】</w:t>
      </w:r>
      <w:r>
        <w:rPr>
          <w:rFonts w:hint="eastAsia" w:ascii="仿宋_GB2312" w:hAnsi="宋体"/>
          <w:spacing w:val="0"/>
          <w:sz w:val="30"/>
          <w:szCs w:val="30"/>
        </w:rPr>
        <w:t xml:space="preserve"> 老城科技新城可以采取收购、置换、入股、合作开发等方式整合盘活土地资源；可以通过出租、临时使用等方式对园区范围内未供应的政府储备土地加以利用，但不得影响土地正常供应；可以依法采取划拨、出让、租赁、作价出资或者入股等灵活多样的供地方式；允许依照有关规定以出让、出租等方式利用农村存量集体经营性建设用地进行产业项目及保障性租赁住房建设。</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spacing w:val="0"/>
          <w:sz w:val="30"/>
          <w:szCs w:val="30"/>
        </w:rPr>
        <w:t xml:space="preserve">第九条 </w:t>
      </w:r>
      <w:r>
        <w:rPr>
          <w:rFonts w:hint="eastAsia" w:ascii="仿宋_GB2312" w:hAnsi="宋体"/>
          <w:b/>
          <w:bCs/>
          <w:spacing w:val="0"/>
          <w:sz w:val="30"/>
          <w:szCs w:val="30"/>
        </w:rPr>
        <w:t>【合作共建</w:t>
      </w:r>
      <w:r>
        <w:rPr>
          <w:rFonts w:hint="eastAsia" w:ascii="仿宋_GB2312" w:hAnsi="宋体"/>
          <w:b/>
          <w:bCs/>
          <w:color w:val="auto"/>
          <w:spacing w:val="0"/>
          <w:sz w:val="30"/>
          <w:szCs w:val="30"/>
        </w:rPr>
        <w:t>】</w:t>
      </w:r>
      <w:r>
        <w:rPr>
          <w:rFonts w:hint="eastAsia" w:ascii="黑体" w:hAnsi="宋体" w:eastAsia="黑体"/>
          <w:b/>
          <w:bCs/>
          <w:color w:val="auto"/>
          <w:spacing w:val="0"/>
          <w:sz w:val="30"/>
          <w:szCs w:val="30"/>
        </w:rPr>
        <w:t xml:space="preserve"> </w:t>
      </w:r>
      <w:r>
        <w:rPr>
          <w:rFonts w:hint="eastAsia" w:ascii="仿宋_GB2312" w:hAnsi="宋体"/>
          <w:color w:val="auto"/>
          <w:spacing w:val="0"/>
          <w:sz w:val="30"/>
          <w:szCs w:val="30"/>
        </w:rPr>
        <w:t>海南老城科技新城管理委员会可以采取联合共建、委托管理等形式，建设跨区域合作产业园区。鼓励老城科技新城实行一区多园、飞地经济等方式，整合或者托管其他园区，协同互补、联合发展，建设开放创新共同体。</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color w:val="auto"/>
          <w:spacing w:val="0"/>
          <w:sz w:val="30"/>
          <w:szCs w:val="30"/>
        </w:rPr>
        <w:t>第十条</w:t>
      </w:r>
      <w:r>
        <w:rPr>
          <w:rFonts w:hint="eastAsia" w:ascii="仿宋_GB2312" w:hAnsi="宋体"/>
          <w:color w:val="auto"/>
          <w:spacing w:val="0"/>
          <w:sz w:val="30"/>
          <w:szCs w:val="30"/>
        </w:rPr>
        <w:t xml:space="preserve"> </w:t>
      </w:r>
      <w:r>
        <w:rPr>
          <w:rFonts w:hint="eastAsia" w:ascii="仿宋_GB2312" w:hAnsi="宋体"/>
          <w:b/>
          <w:bCs/>
          <w:color w:val="auto"/>
          <w:spacing w:val="0"/>
          <w:sz w:val="30"/>
          <w:szCs w:val="30"/>
        </w:rPr>
        <w:t>【市场运作】</w:t>
      </w:r>
      <w:r>
        <w:rPr>
          <w:rFonts w:hint="eastAsia" w:ascii="仿宋_GB2312" w:hAnsi="宋体"/>
          <w:color w:val="auto"/>
          <w:spacing w:val="0"/>
          <w:sz w:val="30"/>
          <w:szCs w:val="30"/>
        </w:rPr>
        <w:t>海南老城科技新城管理委员会可以</w:t>
      </w:r>
      <w:r>
        <w:rPr>
          <w:rFonts w:hint="eastAsia" w:ascii="仿宋_GB2312" w:hAnsi="宋体"/>
          <w:spacing w:val="0"/>
          <w:sz w:val="30"/>
          <w:szCs w:val="30"/>
        </w:rPr>
        <w:t>依法设立或者引进开发运营企业，委托企业负责老城科技新城的土地开发、招商引资、产业投资和基础设施、公共服务设施的建设和运营</w:t>
      </w:r>
      <w:r>
        <w:rPr>
          <w:rFonts w:hint="eastAsia" w:ascii="仿宋_GB2312" w:hAnsi="宋体"/>
          <w:color w:val="auto"/>
          <w:spacing w:val="0"/>
          <w:sz w:val="30"/>
          <w:szCs w:val="30"/>
        </w:rPr>
        <w:t>以及企业服务等事项，参与老城科技新城管理服务的组织与实施。</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海南老城科技新城管理委员会对所出资企业履行出资人职责，依法享有资产收益、参与重大决策和选择管理者等出资人权利。</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老城科技新城范围内有偿供应的土地上配建的属于海南老城科技新城管理委员会的资产，或者由海南老城科技新城管理委员会统筹建设的产业用房、办公、商业、住宅等物业，可以用于老城科技新城的产业扶持、公共服务和人才住房等。海南老城科技新城管理委员会统筹上述资产的规划、配置和管理。</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第十一条 【</w:t>
      </w:r>
      <w:r>
        <w:rPr>
          <w:rFonts w:hint="eastAsia" w:ascii="仿宋_GB2312" w:hAnsi="宋体"/>
          <w:b/>
          <w:bCs/>
          <w:spacing w:val="0"/>
          <w:sz w:val="30"/>
          <w:szCs w:val="30"/>
        </w:rPr>
        <w:t>投资融资机制】</w:t>
      </w:r>
      <w:r>
        <w:rPr>
          <w:rFonts w:hint="eastAsia" w:ascii="仿宋_GB2312" w:hAnsi="宋体"/>
          <w:spacing w:val="0"/>
          <w:sz w:val="30"/>
          <w:szCs w:val="30"/>
        </w:rPr>
        <w:t>老城科技新城应当建立和完善投资主体多元化、融资渠道多样化、投资管理市场化的管理运营模式，在</w:t>
      </w:r>
      <w:r>
        <w:rPr>
          <w:rFonts w:hint="eastAsia" w:ascii="仿宋_GB2312" w:hAnsi="宋体"/>
          <w:color w:val="auto"/>
          <w:spacing w:val="0"/>
          <w:sz w:val="30"/>
          <w:szCs w:val="30"/>
        </w:rPr>
        <w:t>地方政府专项债券额度分配等方面予以优先保障和支持，充分引入社会资本参与园区建设和开发，</w:t>
      </w:r>
      <w:r>
        <w:rPr>
          <w:rFonts w:hint="eastAsia" w:ascii="仿宋_GB2312" w:hAnsi="宋体"/>
          <w:spacing w:val="0"/>
          <w:sz w:val="30"/>
          <w:szCs w:val="30"/>
        </w:rPr>
        <w:t>为产业发展和基础设施建设提供资金支持。</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第十二条 【</w:t>
      </w:r>
      <w:r>
        <w:rPr>
          <w:rFonts w:hint="eastAsia" w:ascii="仿宋_GB2312" w:hAnsi="仿宋_GB2312" w:cs="仿宋_GB2312"/>
          <w:b/>
          <w:bCs/>
          <w:spacing w:val="0"/>
          <w:sz w:val="30"/>
          <w:szCs w:val="30"/>
        </w:rPr>
        <w:t>城市更新</w:t>
      </w:r>
      <w:r>
        <w:rPr>
          <w:rFonts w:hint="eastAsia" w:ascii="仿宋_GB2312" w:hAnsi="宋体"/>
          <w:b/>
          <w:bCs/>
          <w:spacing w:val="0"/>
          <w:sz w:val="30"/>
          <w:szCs w:val="30"/>
        </w:rPr>
        <w:t>】</w:t>
      </w:r>
      <w:r>
        <w:rPr>
          <w:rFonts w:hint="eastAsia" w:ascii="仿宋_GB2312" w:hAnsi="宋体"/>
          <w:spacing w:val="0"/>
          <w:sz w:val="30"/>
          <w:szCs w:val="30"/>
        </w:rPr>
        <w:t>支持在老城科技新城统筹推进城市更新，在城市更新机制、模式、管理等方面率先进行创新探索。澄迈县人民政府应当加快推进老城科技新城范围内土地整备、城市更新等工作，保障园区开发建设。开展城市更新的用地，可以依法采取出让、租赁、作价出资或者入股等有偿使用方式或者划拨方式配置。</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spacing w:val="0"/>
          <w:sz w:val="30"/>
          <w:szCs w:val="30"/>
        </w:rPr>
        <w:t xml:space="preserve">第十三条 </w:t>
      </w:r>
      <w:r>
        <w:rPr>
          <w:rFonts w:hint="eastAsia" w:ascii="仿宋_GB2312" w:hAnsi="宋体"/>
          <w:b/>
          <w:bCs/>
          <w:spacing w:val="0"/>
          <w:sz w:val="30"/>
          <w:szCs w:val="30"/>
        </w:rPr>
        <w:t>【油服产业】</w:t>
      </w:r>
      <w:r>
        <w:rPr>
          <w:rFonts w:hint="eastAsia" w:ascii="仿宋_GB2312" w:hAnsi="宋体"/>
          <w:spacing w:val="0"/>
          <w:sz w:val="30"/>
          <w:szCs w:val="30"/>
        </w:rPr>
        <w:t xml:space="preserve"> 支持老城科技新城建设具有国际竞争力的海洋油气勘探开发后勤服务基地，培育和引进知名龙头企业、深海深层能源重点实验室、国际国内专业机构等，促进海洋油气技术服务产业、海洋油气生产服务产业、海洋工程服务产业等集聚发展</w:t>
      </w:r>
      <w:r>
        <w:rPr>
          <w:rFonts w:hint="eastAsia" w:ascii="仿宋_GB2312" w:hAnsi="宋体"/>
          <w:color w:val="auto"/>
          <w:spacing w:val="0"/>
          <w:sz w:val="30"/>
          <w:szCs w:val="30"/>
        </w:rPr>
        <w:t>，推动形成多层次、立体化的海洋油气资源开发服务体系。</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color w:val="auto"/>
          <w:spacing w:val="0"/>
          <w:sz w:val="30"/>
          <w:szCs w:val="30"/>
        </w:rPr>
        <w:t>第十四条 【</w:t>
      </w:r>
      <w:r>
        <w:rPr>
          <w:rFonts w:hint="eastAsia" w:ascii="仿宋_GB2312" w:hAnsi="宋体"/>
          <w:b/>
          <w:bCs/>
          <w:color w:val="auto"/>
          <w:spacing w:val="0"/>
          <w:sz w:val="30"/>
          <w:szCs w:val="30"/>
        </w:rPr>
        <w:t>数字经济</w:t>
      </w:r>
      <w:r>
        <w:rPr>
          <w:rFonts w:hint="eastAsia" w:ascii="黑体" w:hAnsi="宋体" w:eastAsia="黑体"/>
          <w:b/>
          <w:bCs/>
          <w:color w:val="auto"/>
          <w:spacing w:val="0"/>
          <w:sz w:val="30"/>
          <w:szCs w:val="30"/>
        </w:rPr>
        <w:t xml:space="preserve">】 </w:t>
      </w:r>
      <w:r>
        <w:rPr>
          <w:rFonts w:hint="eastAsia" w:ascii="仿宋_GB2312" w:hAnsi="宋体"/>
          <w:color w:val="auto"/>
          <w:spacing w:val="0"/>
          <w:sz w:val="30"/>
          <w:szCs w:val="30"/>
        </w:rPr>
        <w:t>支持老城科技新城发展数字经济产业集群，促进数据安全和信息技术应用创新产业发展，推动园区数字产业化和产业数字化转型。</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支持海南老城科技新城管理委员会在确保数据流动安全可控前提下推动开放数字经济领域更多应用场景，搭建场景应用对接平台，推动平台经济、分享经济等创新业务集聚与创新发展，推进平台经济行业等业务在商事登记、税收征管等方面的创新，促进新产业、新业态、新模式快速发展。</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支持在老城科技新城推动游戏出海、区块链和数字医疗等重点产业链的发展，搭建游戏出海公共服务平台，促进游戏出海产品开发、发行、运营、推广策划等全链条发展；建立特殊用途化妆品备案承诺制，推进互联网医院纳入医保定点机构试点服务工作，简化互联网医院医师多点备案流程等。</w:t>
      </w:r>
    </w:p>
    <w:p>
      <w:pPr>
        <w:ind w:firstLine="606" w:firstLineChars="200"/>
        <w:jc w:val="left"/>
        <w:rPr>
          <w:rFonts w:ascii="仿宋_GB2312" w:hAnsi="宋体"/>
          <w:spacing w:val="0"/>
          <w:sz w:val="30"/>
          <w:szCs w:val="30"/>
        </w:rPr>
      </w:pPr>
      <w:r>
        <w:rPr>
          <w:rFonts w:hint="eastAsia" w:ascii="黑体" w:hAnsi="宋体" w:eastAsia="黑体"/>
          <w:b/>
          <w:bCs/>
          <w:spacing w:val="0"/>
          <w:sz w:val="30"/>
          <w:szCs w:val="30"/>
        </w:rPr>
        <w:t>第十五条 【</w:t>
      </w:r>
      <w:r>
        <w:rPr>
          <w:rFonts w:hint="eastAsia" w:ascii="仿宋_GB2312" w:hAnsi="宋体"/>
          <w:b/>
          <w:bCs/>
          <w:spacing w:val="0"/>
          <w:sz w:val="30"/>
          <w:szCs w:val="30"/>
        </w:rPr>
        <w:t>现代物流</w:t>
      </w:r>
      <w:r>
        <w:rPr>
          <w:rFonts w:hint="eastAsia" w:ascii="黑体" w:hAnsi="宋体" w:eastAsia="黑体"/>
          <w:b/>
          <w:bCs/>
          <w:spacing w:val="0"/>
          <w:sz w:val="30"/>
          <w:szCs w:val="30"/>
        </w:rPr>
        <w:t xml:space="preserve">】 </w:t>
      </w:r>
      <w:r>
        <w:rPr>
          <w:rFonts w:hint="eastAsia" w:ascii="仿宋_GB2312" w:hAnsi="宋体"/>
          <w:spacing w:val="0"/>
          <w:sz w:val="30"/>
          <w:szCs w:val="30"/>
        </w:rPr>
        <w:t>支持老城科技新城依托马村港建设国际物流集散中心。加快推进马村港区航道工程、集装箱码头工程、危险货物滚装运输作业码头、国际物流运输仓储等项目建设。</w:t>
      </w:r>
    </w:p>
    <w:p>
      <w:pPr>
        <w:ind w:firstLine="606" w:firstLineChars="200"/>
        <w:jc w:val="left"/>
        <w:rPr>
          <w:rFonts w:ascii="仿宋_GB2312" w:hAnsi="宋体"/>
          <w:color w:val="auto"/>
          <w:spacing w:val="0"/>
          <w:sz w:val="30"/>
          <w:szCs w:val="30"/>
        </w:rPr>
      </w:pPr>
      <w:r>
        <w:rPr>
          <w:rFonts w:hint="eastAsia" w:ascii="仿宋_GB2312" w:hAnsi="宋体"/>
          <w:color w:val="auto"/>
          <w:spacing w:val="0"/>
          <w:sz w:val="30"/>
          <w:szCs w:val="30"/>
        </w:rPr>
        <w:t>支持在老城科技新城发展现代航运服务业。依托马村港区推动船舶交易市场、船员市场、船舶信息服务、船舶技术服务、邮轮产业等现代航运服务业的发展，允许大型船舶企业参与组建金融租赁公司，探索建立国际航运综合试验区，加快建设航运服务集聚区。</w:t>
      </w:r>
    </w:p>
    <w:p>
      <w:pPr>
        <w:ind w:firstLine="606" w:firstLineChars="200"/>
        <w:jc w:val="left"/>
        <w:rPr>
          <w:rFonts w:ascii="仿宋_GB2312" w:hAnsi="宋体"/>
          <w:color w:val="auto"/>
          <w:spacing w:val="0"/>
          <w:sz w:val="30"/>
          <w:szCs w:val="30"/>
        </w:rPr>
      </w:pPr>
      <w:r>
        <w:rPr>
          <w:rFonts w:hint="eastAsia" w:ascii="仿宋_GB2312" w:hAnsi="宋体"/>
          <w:color w:val="auto"/>
          <w:spacing w:val="0"/>
          <w:sz w:val="30"/>
          <w:szCs w:val="30"/>
        </w:rPr>
        <w:t>支持在老城科技新城培育和引进集运输、清关、派送、仓储、进出口供应链服务等一体化的大型国际物流运输服务商和冷链运输及仓储重点企业，鼓励物流企业向工业物流转型，推动有关部门在通关便利、保税货物监管、跨境电商、冷链物流、仓储物流等方面给予支持。</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spacing w:val="0"/>
          <w:sz w:val="30"/>
          <w:szCs w:val="30"/>
        </w:rPr>
        <w:t>第十六条 【</w:t>
      </w:r>
      <w:r>
        <w:rPr>
          <w:rFonts w:hint="eastAsia" w:ascii="仿宋_GB2312" w:hAnsi="宋体"/>
          <w:b/>
          <w:bCs/>
          <w:spacing w:val="0"/>
          <w:sz w:val="30"/>
          <w:szCs w:val="30"/>
        </w:rPr>
        <w:t>绿色制造</w:t>
      </w:r>
      <w:r>
        <w:rPr>
          <w:rFonts w:hint="eastAsia" w:ascii="黑体" w:hAnsi="宋体" w:eastAsia="黑体"/>
          <w:b/>
          <w:bCs/>
          <w:spacing w:val="0"/>
          <w:sz w:val="30"/>
          <w:szCs w:val="30"/>
        </w:rPr>
        <w:t xml:space="preserve">】 </w:t>
      </w:r>
      <w:r>
        <w:rPr>
          <w:rFonts w:hint="eastAsia" w:ascii="仿宋_GB2312" w:hAnsi="宋体"/>
          <w:spacing w:val="0"/>
          <w:sz w:val="30"/>
          <w:szCs w:val="30"/>
        </w:rPr>
        <w:t>支持老城科技新城建设绿色制造产业集聚区，加快推进落后产能更新淘汰和产业提质升级，聚焦高技术含量、高附加值、绿色低碳等产业领域，培育和引进新能源新材料、高端装备制造、</w:t>
      </w:r>
      <w:r>
        <w:rPr>
          <w:rFonts w:hint="eastAsia" w:ascii="仿宋_GB2312" w:hAnsi="宋体"/>
          <w:color w:val="auto"/>
          <w:spacing w:val="0"/>
          <w:sz w:val="30"/>
          <w:szCs w:val="30"/>
        </w:rPr>
        <w:t>加工增值等产业。支持老城科技新城试点开展汽车零部件等再制造产业，建立再制造产业化相关制度，促进园区经济绿色高质量发展。</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 xml:space="preserve">第十七条 </w:t>
      </w:r>
      <w:r>
        <w:rPr>
          <w:rFonts w:hint="eastAsia" w:ascii="仿宋_GB2312" w:hAnsi="宋体"/>
          <w:b/>
          <w:bCs/>
          <w:spacing w:val="0"/>
          <w:sz w:val="30"/>
          <w:szCs w:val="30"/>
        </w:rPr>
        <w:t>【创新创业体系建设】</w:t>
      </w:r>
      <w:r>
        <w:rPr>
          <w:rFonts w:hint="eastAsia" w:ascii="仿宋_GB2312" w:hAnsi="宋体"/>
          <w:spacing w:val="0"/>
          <w:sz w:val="30"/>
          <w:szCs w:val="30"/>
        </w:rPr>
        <w:t xml:space="preserve"> 老城科技新城应当加强创新创业服务体系建设，优化创新创业生态，建设产业技术平台和企业孵化机构，建立以企业为主体、市场为导向、产学研深度融合的创新创业体系。</w:t>
      </w:r>
    </w:p>
    <w:p>
      <w:pPr>
        <w:snapToGrid w:val="0"/>
        <w:spacing w:line="590" w:lineRule="exact"/>
        <w:ind w:firstLine="606" w:firstLineChars="200"/>
        <w:rPr>
          <w:rFonts w:ascii="仿宋_GB2312" w:hAnsi="宋体"/>
          <w:spacing w:val="0"/>
          <w:sz w:val="30"/>
          <w:szCs w:val="30"/>
        </w:rPr>
      </w:pPr>
      <w:r>
        <w:rPr>
          <w:rFonts w:hint="eastAsia" w:ascii="仿宋_GB2312" w:hAnsi="宋体"/>
          <w:color w:val="auto"/>
          <w:spacing w:val="0"/>
          <w:sz w:val="30"/>
          <w:szCs w:val="30"/>
        </w:rPr>
        <w:t>支持老城科技新城引进境内外科研机构、高等院校、科技企业、高层次人才团队、科技人员等在老城科技新城内开展创新创业活动。鼓励科研机构、高等学校的科研选题与老城科技新城企业技术创新</w:t>
      </w:r>
      <w:r>
        <w:rPr>
          <w:rFonts w:hint="eastAsia" w:ascii="仿宋_GB2312" w:hAnsi="宋体"/>
          <w:spacing w:val="0"/>
          <w:sz w:val="30"/>
          <w:szCs w:val="30"/>
        </w:rPr>
        <w:t>相结合。</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 xml:space="preserve">第十八条 </w:t>
      </w:r>
      <w:r>
        <w:rPr>
          <w:rFonts w:hint="eastAsia" w:ascii="仿宋_GB2312" w:hAnsi="宋体"/>
          <w:b/>
          <w:bCs/>
          <w:spacing w:val="0"/>
          <w:sz w:val="30"/>
          <w:szCs w:val="30"/>
        </w:rPr>
        <w:t>【人才引进】</w:t>
      </w:r>
      <w:r>
        <w:rPr>
          <w:rFonts w:hint="eastAsia" w:ascii="仿宋_GB2312" w:hAnsi="宋体"/>
          <w:spacing w:val="0"/>
          <w:sz w:val="30"/>
          <w:szCs w:val="30"/>
        </w:rPr>
        <w:t xml:space="preserve"> 老城科技新城可以通过政策和资金扶持，引进境内外高层次人才和急需紧缺人才，对急需紧缺人才结合实际适当放宽文凭、年龄、职称等条件限制，为老城科技新城的企业、组织和个人提供优质、高效、便捷的服务。</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支持国有企业、事业单位的专业技术和管理人才按规定在老城科技新城兼职兼薪、按劳取酬。</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color w:val="auto"/>
          <w:spacing w:val="0"/>
          <w:sz w:val="30"/>
          <w:szCs w:val="30"/>
        </w:rPr>
        <w:t xml:space="preserve">第十九条 </w:t>
      </w:r>
      <w:r>
        <w:rPr>
          <w:rFonts w:hint="eastAsia" w:ascii="仿宋_GB2312" w:hAnsi="宋体"/>
          <w:b/>
          <w:bCs/>
          <w:color w:val="auto"/>
          <w:spacing w:val="0"/>
          <w:sz w:val="30"/>
          <w:szCs w:val="30"/>
        </w:rPr>
        <w:t>【人才认定】</w:t>
      </w:r>
      <w:r>
        <w:rPr>
          <w:rFonts w:hint="eastAsia" w:ascii="仿宋_GB2312" w:hAnsi="宋体"/>
          <w:color w:val="auto"/>
          <w:spacing w:val="0"/>
          <w:sz w:val="30"/>
          <w:szCs w:val="30"/>
        </w:rPr>
        <w:t>海南老城科技新城管理委员会可以根据产业发展需要，按照海南自由贸易港高层次人才认定办法和分</w:t>
      </w:r>
      <w:r>
        <w:rPr>
          <w:rFonts w:hint="eastAsia" w:ascii="仿宋_GB2312" w:hAnsi="宋体"/>
          <w:spacing w:val="0"/>
          <w:sz w:val="30"/>
          <w:szCs w:val="30"/>
        </w:rPr>
        <w:t>类标准自主认定高层次人才。</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第二十条</w:t>
      </w:r>
      <w:r>
        <w:rPr>
          <w:rFonts w:ascii="黑体" w:hAnsi="宋体" w:eastAsia="黑体"/>
          <w:b/>
          <w:bCs/>
          <w:spacing w:val="0"/>
          <w:sz w:val="30"/>
          <w:szCs w:val="30"/>
        </w:rPr>
        <w:t xml:space="preserve"> </w:t>
      </w:r>
      <w:r>
        <w:rPr>
          <w:rFonts w:ascii="仿宋_GB2312" w:hAnsi="宋体"/>
          <w:b/>
          <w:bCs/>
          <w:spacing w:val="0"/>
          <w:sz w:val="30"/>
          <w:szCs w:val="30"/>
        </w:rPr>
        <w:t>【人才便利政策】</w:t>
      </w:r>
      <w:r>
        <w:rPr>
          <w:rFonts w:ascii="仿宋_GB2312" w:hAnsi="宋体"/>
          <w:spacing w:val="0"/>
          <w:sz w:val="30"/>
          <w:szCs w:val="30"/>
        </w:rPr>
        <w:t xml:space="preserve"> </w:t>
      </w:r>
      <w:r>
        <w:rPr>
          <w:rFonts w:hint="eastAsia" w:ascii="仿宋_GB2312" w:hAnsi="宋体"/>
          <w:spacing w:val="0"/>
          <w:sz w:val="30"/>
          <w:szCs w:val="30"/>
        </w:rPr>
        <w:t>老城科技新城可以按照有关规定，对在老城科技新城实际工作的国内外高层次人才和急需紧缺人才，在人才落户、住房保障、子女入学、医疗保障、配偶就业、科学研究等方面提供便利。</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老城科技新城可以按照有关规定，为外国人在老城科技新城办理工作许可、签证申请、就业和停居留等手续提供便利。</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color w:val="auto"/>
          <w:spacing w:val="0"/>
          <w:sz w:val="30"/>
          <w:szCs w:val="30"/>
        </w:rPr>
        <w:t xml:space="preserve">第二十一条 </w:t>
      </w:r>
      <w:r>
        <w:rPr>
          <w:rFonts w:hint="eastAsia" w:ascii="仿宋_GB2312" w:hAnsi="宋体"/>
          <w:b/>
          <w:bCs/>
          <w:color w:val="auto"/>
          <w:spacing w:val="0"/>
          <w:sz w:val="30"/>
          <w:szCs w:val="30"/>
        </w:rPr>
        <w:t xml:space="preserve">【人才培育】 </w:t>
      </w:r>
      <w:r>
        <w:rPr>
          <w:rFonts w:hint="eastAsia" w:ascii="仿宋_GB2312" w:hAnsi="宋体"/>
          <w:color w:val="auto"/>
          <w:spacing w:val="0"/>
          <w:sz w:val="30"/>
          <w:szCs w:val="30"/>
        </w:rPr>
        <w:t>支持老城科技新城按有关规定引入国内外高校和职业院校，探索创新国内外教育合作新模式，建立职</w:t>
      </w:r>
      <w:r>
        <w:rPr>
          <w:rFonts w:hint="eastAsia" w:ascii="仿宋_GB2312" w:hAnsi="宋体"/>
          <w:spacing w:val="0"/>
          <w:sz w:val="30"/>
          <w:szCs w:val="30"/>
        </w:rPr>
        <w:t>业教育培训学校和实训基地，为产业发展培养人才。</w:t>
      </w:r>
    </w:p>
    <w:p>
      <w:pPr>
        <w:snapToGrid w:val="0"/>
        <w:spacing w:line="590" w:lineRule="exact"/>
        <w:ind w:firstLine="606" w:firstLineChars="200"/>
        <w:rPr>
          <w:rFonts w:ascii="仿宋_GB2312" w:hAnsi="宋体"/>
          <w:spacing w:val="0"/>
          <w:sz w:val="30"/>
          <w:szCs w:val="30"/>
        </w:rPr>
      </w:pPr>
      <w:r>
        <w:rPr>
          <w:rFonts w:hint="eastAsia" w:ascii="仿宋_GB2312" w:hAnsi="宋体"/>
          <w:spacing w:val="0"/>
          <w:sz w:val="30"/>
          <w:szCs w:val="30"/>
        </w:rPr>
        <w:t>支持老城科技新城培育和引进国际化的法律、会计等专业服务机构及相关人才，推进服务要素集聚，为市场主体提供集约化、数字化、市场化的一站式专业服务。</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 xml:space="preserve">第二十二条 </w:t>
      </w:r>
      <w:r>
        <w:rPr>
          <w:rFonts w:hint="eastAsia" w:ascii="仿宋_GB2312" w:hAnsi="宋体"/>
          <w:b/>
          <w:bCs/>
          <w:spacing w:val="0"/>
          <w:sz w:val="30"/>
          <w:szCs w:val="30"/>
        </w:rPr>
        <w:t xml:space="preserve">【极简审批改革】 </w:t>
      </w:r>
      <w:r>
        <w:rPr>
          <w:rFonts w:hint="eastAsia" w:ascii="仿宋_GB2312" w:hAnsi="宋体"/>
          <w:spacing w:val="0"/>
          <w:sz w:val="30"/>
          <w:szCs w:val="30"/>
        </w:rPr>
        <w:t>在老城科技新城实施和深化极简审批改革，简化审批条件和程序，提高审批服务效能，在企业设立、经营许可、人才引进、不动产权登记等方面实行一站式服务，加强事中事后监管。</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spacing w:val="0"/>
          <w:sz w:val="30"/>
          <w:szCs w:val="30"/>
        </w:rPr>
        <w:t>第二十三</w:t>
      </w:r>
      <w:r>
        <w:rPr>
          <w:rFonts w:hint="eastAsia" w:ascii="黑体" w:hAnsi="宋体" w:eastAsia="黑体"/>
          <w:b/>
          <w:bCs/>
          <w:color w:val="auto"/>
          <w:spacing w:val="0"/>
          <w:sz w:val="30"/>
          <w:szCs w:val="30"/>
        </w:rPr>
        <w:t>条</w:t>
      </w:r>
      <w:r>
        <w:rPr>
          <w:rFonts w:ascii="黑体" w:hAnsi="宋体" w:eastAsia="黑体"/>
          <w:b/>
          <w:bCs/>
          <w:color w:val="auto"/>
          <w:spacing w:val="0"/>
          <w:sz w:val="30"/>
          <w:szCs w:val="30"/>
        </w:rPr>
        <w:t xml:space="preserve"> </w:t>
      </w:r>
      <w:r>
        <w:rPr>
          <w:rFonts w:hint="eastAsia" w:ascii="仿宋_GB2312" w:hAnsi="宋体"/>
          <w:b/>
          <w:bCs/>
          <w:color w:val="auto"/>
          <w:spacing w:val="0"/>
          <w:sz w:val="30"/>
          <w:szCs w:val="30"/>
        </w:rPr>
        <w:t>【财政监管】</w:t>
      </w:r>
      <w:r>
        <w:rPr>
          <w:rFonts w:ascii="仿宋_GB2312" w:hAnsi="宋体"/>
          <w:color w:val="auto"/>
          <w:spacing w:val="0"/>
          <w:sz w:val="30"/>
          <w:szCs w:val="30"/>
        </w:rPr>
        <w:t xml:space="preserve"> </w:t>
      </w:r>
      <w:r>
        <w:rPr>
          <w:rFonts w:hint="eastAsia" w:ascii="仿宋_GB2312" w:hAnsi="宋体"/>
          <w:color w:val="auto"/>
          <w:spacing w:val="0"/>
          <w:sz w:val="30"/>
          <w:szCs w:val="30"/>
        </w:rPr>
        <w:t>支持在老城科技新城推动财政监管体制改革创新，确保园区财务管理的公共性、透明性和规范性。</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海南老城科技新城管理委员会应当加强对产业扶持资金、其他专项资金等园区财政性资金的全过程监管。园区收到的各类专项资金应专款专用、专账核算，并主动接受财政、审计、纪检监察等部门的监督检查。</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color w:val="auto"/>
          <w:spacing w:val="0"/>
          <w:sz w:val="30"/>
          <w:szCs w:val="30"/>
        </w:rPr>
        <w:t>第二十四条</w:t>
      </w:r>
      <w:r>
        <w:rPr>
          <w:rFonts w:ascii="黑体" w:hAnsi="宋体" w:eastAsia="黑体"/>
          <w:b/>
          <w:bCs/>
          <w:color w:val="auto"/>
          <w:spacing w:val="0"/>
          <w:sz w:val="30"/>
          <w:szCs w:val="30"/>
        </w:rPr>
        <w:t xml:space="preserve"> </w:t>
      </w:r>
      <w:r>
        <w:rPr>
          <w:rFonts w:hint="eastAsia" w:ascii="仿宋_GB2312" w:hAnsi="宋体"/>
          <w:b/>
          <w:bCs/>
          <w:color w:val="auto"/>
          <w:spacing w:val="0"/>
          <w:sz w:val="30"/>
          <w:szCs w:val="30"/>
        </w:rPr>
        <w:t>【激励机制】</w:t>
      </w:r>
      <w:r>
        <w:rPr>
          <w:rFonts w:hint="eastAsia" w:ascii="仿宋_GB2312" w:hAnsi="宋体"/>
          <w:color w:val="auto"/>
          <w:spacing w:val="0"/>
          <w:sz w:val="30"/>
          <w:szCs w:val="30"/>
        </w:rPr>
        <w:t xml:space="preserve"> 支持海南老城科技新城管理委员会创新招商引资方式和招商激励机制，在法定权限范围内自主制定促</w:t>
      </w:r>
      <w:r>
        <w:rPr>
          <w:rFonts w:hint="eastAsia" w:ascii="仿宋_GB2312" w:hAnsi="宋体"/>
          <w:spacing w:val="0"/>
          <w:sz w:val="30"/>
          <w:szCs w:val="30"/>
        </w:rPr>
        <w:t>进产业发展的政策措施，涉及省级事权的报省人民政府批准后实施。</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鼓励园区设立工业发展专项资金，该资金依照有关规定从土地出让金中按一定比例提取，以激励企业自主升级改造，推动园区产业集聚和工业发展。</w:t>
      </w:r>
    </w:p>
    <w:p>
      <w:pPr>
        <w:snapToGrid w:val="0"/>
        <w:spacing w:line="590" w:lineRule="exact"/>
        <w:ind w:firstLine="606" w:firstLineChars="200"/>
        <w:rPr>
          <w:rFonts w:ascii="仿宋_GB2312" w:hAnsi="宋体"/>
          <w:color w:val="auto"/>
          <w:spacing w:val="0"/>
          <w:sz w:val="30"/>
          <w:szCs w:val="30"/>
        </w:rPr>
      </w:pPr>
      <w:r>
        <w:rPr>
          <w:rFonts w:hint="eastAsia" w:ascii="黑体" w:hAnsi="宋体" w:eastAsia="黑体"/>
          <w:b/>
          <w:bCs/>
          <w:color w:val="auto"/>
          <w:spacing w:val="0"/>
          <w:sz w:val="30"/>
          <w:szCs w:val="30"/>
        </w:rPr>
        <w:t xml:space="preserve">第二十五条 </w:t>
      </w:r>
      <w:r>
        <w:rPr>
          <w:rFonts w:hint="eastAsia" w:ascii="仿宋_GB2312" w:hAnsi="宋体"/>
          <w:b/>
          <w:bCs/>
          <w:color w:val="auto"/>
          <w:spacing w:val="0"/>
          <w:sz w:val="30"/>
          <w:szCs w:val="30"/>
        </w:rPr>
        <w:t>【企业权益保障】</w:t>
      </w:r>
      <w:r>
        <w:rPr>
          <w:rFonts w:hint="eastAsia" w:ascii="仿宋_GB2312" w:hAnsi="宋体"/>
          <w:color w:val="auto"/>
          <w:spacing w:val="0"/>
          <w:sz w:val="30"/>
          <w:szCs w:val="30"/>
        </w:rPr>
        <w:t>海南老城科技新城管理委员会应当优化营商环境，强化园区企业产权保护，依法保护自然人、法人和非法人组织在老城科技新城的投资、收益和其他合法权益。</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海南老城科技新城管理委员会应当优化涉企服务，建立招商项目落地保障机制，实行项目全程跟踪服务责任制，及时协调解决项目审批、开工建设、竣工验收、产权登记和生产经营中的问题。不得将政务服务事项转为中介服务事项。</w:t>
      </w:r>
    </w:p>
    <w:p>
      <w:pPr>
        <w:snapToGrid w:val="0"/>
        <w:spacing w:line="590" w:lineRule="exact"/>
        <w:ind w:firstLine="606" w:firstLineChars="200"/>
        <w:rPr>
          <w:rFonts w:ascii="仿宋_GB2312" w:hAnsi="宋体"/>
          <w:color w:val="auto"/>
          <w:spacing w:val="0"/>
          <w:sz w:val="30"/>
          <w:szCs w:val="30"/>
        </w:rPr>
      </w:pPr>
      <w:r>
        <w:rPr>
          <w:rFonts w:hint="eastAsia" w:ascii="仿宋_GB2312" w:hAnsi="宋体"/>
          <w:color w:val="auto"/>
          <w:spacing w:val="0"/>
          <w:sz w:val="30"/>
          <w:szCs w:val="30"/>
        </w:rPr>
        <w:t>海南老城科技新城管理委员会在制定和修订涉企政策时应当充分听取园区企业的意见建议，但依法需要保密的除外。海南老城科技新城管理委员会应当完善涉企投诉渠道，建立健全园区企业投诉举报受理、处理和反馈机制。</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color w:val="auto"/>
          <w:spacing w:val="0"/>
          <w:sz w:val="30"/>
          <w:szCs w:val="30"/>
        </w:rPr>
        <w:t xml:space="preserve">第二十六条 </w:t>
      </w:r>
      <w:r>
        <w:rPr>
          <w:rFonts w:hint="eastAsia" w:ascii="仿宋_GB2312" w:hAnsi="宋体"/>
          <w:b/>
          <w:bCs/>
          <w:color w:val="auto"/>
          <w:spacing w:val="0"/>
          <w:sz w:val="30"/>
          <w:szCs w:val="30"/>
        </w:rPr>
        <w:t>【知识产权服务】</w:t>
      </w:r>
      <w:r>
        <w:rPr>
          <w:rFonts w:hint="eastAsia" w:ascii="仿宋_GB2312" w:hAnsi="宋体"/>
          <w:color w:val="auto"/>
          <w:spacing w:val="0"/>
          <w:sz w:val="30"/>
          <w:szCs w:val="30"/>
        </w:rPr>
        <w:t xml:space="preserve"> 海南老城科技新城管理委员会应当根据园区企业对知识产权服务的需求，建设知识产权公共服务平台，完善知识产权服务体系，推动知识产</w:t>
      </w:r>
      <w:r>
        <w:rPr>
          <w:rFonts w:hint="eastAsia" w:ascii="仿宋_GB2312" w:hAnsi="宋体"/>
          <w:spacing w:val="0"/>
          <w:sz w:val="30"/>
          <w:szCs w:val="30"/>
        </w:rPr>
        <w:t>权创造、运用、管理和服务创新发展。</w:t>
      </w:r>
    </w:p>
    <w:p>
      <w:pPr>
        <w:snapToGrid w:val="0"/>
        <w:spacing w:line="590" w:lineRule="exact"/>
        <w:ind w:firstLine="606" w:firstLineChars="200"/>
        <w:rPr>
          <w:rFonts w:ascii="仿宋_GB2312" w:hAnsi="宋体"/>
          <w:spacing w:val="0"/>
          <w:sz w:val="30"/>
          <w:szCs w:val="30"/>
        </w:rPr>
      </w:pPr>
      <w:r>
        <w:rPr>
          <w:rFonts w:hint="eastAsia" w:ascii="仿宋_GB2312" w:hAnsi="宋体"/>
          <w:spacing w:val="0"/>
          <w:sz w:val="30"/>
          <w:szCs w:val="30"/>
        </w:rPr>
        <w:t>鼓励园区企业和其他组织及科研人员进行自主创新，提升专利产出质量和效率。</w:t>
      </w:r>
    </w:p>
    <w:p>
      <w:pPr>
        <w:snapToGrid w:val="0"/>
        <w:spacing w:line="590" w:lineRule="exact"/>
        <w:ind w:firstLine="606" w:firstLineChars="200"/>
        <w:rPr>
          <w:rFonts w:ascii="仿宋_GB2312" w:hAnsi="宋体"/>
          <w:spacing w:val="0"/>
          <w:sz w:val="30"/>
          <w:szCs w:val="30"/>
        </w:rPr>
      </w:pPr>
      <w:r>
        <w:rPr>
          <w:rFonts w:hint="eastAsia" w:ascii="仿宋_GB2312" w:hAnsi="宋体"/>
          <w:spacing w:val="0"/>
          <w:sz w:val="30"/>
          <w:szCs w:val="30"/>
        </w:rPr>
        <w:t>支持推动知识产权证券化，完善知识产权交易体系与交易机制，支持园区企业利用股权、知识产权开展质押融资。</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第二十七条</w:t>
      </w:r>
      <w:r>
        <w:rPr>
          <w:rFonts w:ascii="黑体" w:hAnsi="宋体" w:eastAsia="黑体"/>
          <w:b/>
          <w:bCs/>
          <w:spacing w:val="0"/>
          <w:sz w:val="30"/>
          <w:szCs w:val="30"/>
        </w:rPr>
        <w:t xml:space="preserve"> </w:t>
      </w:r>
      <w:r>
        <w:rPr>
          <w:rFonts w:hint="eastAsia" w:ascii="仿宋_GB2312" w:hAnsi="宋体"/>
          <w:b/>
          <w:bCs/>
          <w:spacing w:val="0"/>
          <w:sz w:val="30"/>
          <w:szCs w:val="30"/>
        </w:rPr>
        <w:t>【金融服务】</w:t>
      </w:r>
      <w:r>
        <w:rPr>
          <w:rFonts w:ascii="仿宋_GB2312" w:hAnsi="宋体"/>
          <w:spacing w:val="0"/>
          <w:sz w:val="30"/>
          <w:szCs w:val="30"/>
        </w:rPr>
        <w:t xml:space="preserve"> </w:t>
      </w:r>
      <w:r>
        <w:rPr>
          <w:rFonts w:hint="eastAsia" w:ascii="仿宋_GB2312" w:hAnsi="宋体"/>
          <w:spacing w:val="0"/>
          <w:sz w:val="30"/>
          <w:szCs w:val="30"/>
        </w:rPr>
        <w:t>支持在老城科技新城推动绿色金融、科技金融</w:t>
      </w:r>
      <w:r>
        <w:rPr>
          <w:rFonts w:hint="eastAsia" w:ascii="仿宋_GB2312" w:hAnsi="宋体"/>
          <w:color w:val="auto"/>
          <w:spacing w:val="0"/>
          <w:sz w:val="30"/>
          <w:szCs w:val="30"/>
        </w:rPr>
        <w:t>、普惠金融等业务创新</w:t>
      </w:r>
      <w:r>
        <w:rPr>
          <w:rFonts w:hint="eastAsia" w:ascii="仿宋_GB2312" w:hAnsi="宋体"/>
          <w:spacing w:val="0"/>
          <w:sz w:val="30"/>
          <w:szCs w:val="30"/>
        </w:rPr>
        <w:t>发展，在依法合规、风险可控的前提下，促进金融创新产品的推广和金融创新科技的应用，鼓励金融机构进一步加强对互联网、大数据、云计算等信息技</w:t>
      </w:r>
      <w:bookmarkStart w:id="0" w:name="_GoBack"/>
      <w:bookmarkEnd w:id="0"/>
      <w:r>
        <w:rPr>
          <w:rFonts w:hint="eastAsia" w:ascii="仿宋_GB2312" w:hAnsi="宋体"/>
          <w:spacing w:val="0"/>
          <w:sz w:val="30"/>
          <w:szCs w:val="30"/>
        </w:rPr>
        <w:t>术的运用，打造数据化、自动化和智能化的金融服务和监管模式。</w:t>
      </w:r>
    </w:p>
    <w:p>
      <w:pPr>
        <w:snapToGrid w:val="0"/>
        <w:spacing w:line="590" w:lineRule="exact"/>
        <w:ind w:firstLine="606" w:firstLineChars="200"/>
        <w:rPr>
          <w:rFonts w:ascii="仿宋_GB2312" w:hAnsi="宋体"/>
          <w:spacing w:val="0"/>
          <w:sz w:val="30"/>
          <w:szCs w:val="30"/>
        </w:rPr>
      </w:pPr>
      <w:r>
        <w:rPr>
          <w:rFonts w:hint="eastAsia" w:ascii="黑体" w:hAnsi="宋体" w:eastAsia="黑体"/>
          <w:b/>
          <w:bCs/>
          <w:spacing w:val="0"/>
          <w:sz w:val="30"/>
          <w:szCs w:val="30"/>
        </w:rPr>
        <w:t>第二十八条</w:t>
      </w:r>
      <w:r>
        <w:rPr>
          <w:rFonts w:hint="eastAsia" w:ascii="黑体" w:hAnsi="宋体" w:eastAsia="黑体"/>
          <w:spacing w:val="0"/>
          <w:sz w:val="30"/>
          <w:szCs w:val="30"/>
        </w:rPr>
        <w:t xml:space="preserve"> </w:t>
      </w:r>
      <w:r>
        <w:rPr>
          <w:rFonts w:hint="eastAsia" w:ascii="仿宋_GB2312" w:hAnsi="宋体"/>
          <w:spacing w:val="0"/>
          <w:sz w:val="30"/>
          <w:szCs w:val="30"/>
        </w:rPr>
        <w:t>本条例自*年*月*日起施行。</w:t>
      </w:r>
    </w:p>
    <w:sectPr>
      <w:footerReference r:id="rId5" w:type="default"/>
      <w:footerReference r:id="rId6" w:type="even"/>
      <w:pgSz w:w="11906" w:h="16838"/>
      <w:pgMar w:top="2154" w:right="1587" w:bottom="1814" w:left="1588" w:header="851" w:footer="1417" w:gutter="0"/>
      <w:cols w:space="720" w:num="1"/>
      <w:docGrid w:type="linesAndChars" w:linePitch="585" w:charSpace="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napToGrid w:val="0"/>
      <w:spacing w:line="0" w:lineRule="atLeast"/>
      <w:ind w:right="308" w:rightChars="100"/>
      <w:jc w:val="right"/>
      <w:rPr>
        <w:rFonts w:ascii="楷体_GB2312" w:eastAsia="楷体_GB2312"/>
        <w:sz w:val="28"/>
      </w:rPr>
    </w:pPr>
    <w:r>
      <w:rPr>
        <w:rStyle w:val="13"/>
        <w:rFonts w:hint="eastAsia" w:ascii="宋体" w:hAnsi="宋体" w:eastAsia="宋体"/>
        <w:sz w:val="28"/>
      </w:rPr>
      <w:t xml:space="preserve">— </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2</w:t>
    </w:r>
    <w:r>
      <w:rPr>
        <w:rFonts w:hint="eastAsia" w:ascii="宋体" w:hAnsi="宋体" w:eastAsia="宋体" w:cs="宋体"/>
        <w:sz w:val="28"/>
        <w:szCs w:val="28"/>
      </w:rPr>
      <w:fldChar w:fldCharType="end"/>
    </w:r>
    <w:r>
      <w:rPr>
        <w:rStyle w:val="13"/>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napToGrid w:val="0"/>
      <w:spacing w:line="0" w:lineRule="atLeast"/>
      <w:ind w:left="308" w:leftChars="100"/>
      <w:jc w:val="left"/>
      <w:rPr>
        <w:rStyle w:val="13"/>
        <w:rFonts w:ascii="宋体" w:hAnsi="宋体" w:eastAsia="宋体"/>
        <w:sz w:val="28"/>
      </w:rPr>
    </w:pPr>
    <w:r>
      <w:rPr>
        <w:rStyle w:val="13"/>
        <w:rFonts w:hint="eastAsia" w:ascii="宋体" w:hAnsi="宋体" w:eastAsia="宋体"/>
        <w:sz w:val="28"/>
      </w:rPr>
      <w:t xml:space="preserve">— </w:t>
    </w:r>
    <w:r>
      <w:rPr>
        <w:rFonts w:hint="eastAsia" w:ascii="宋体" w:hAnsi="宋体" w:eastAsia="宋体"/>
        <w:sz w:val="28"/>
      </w:rPr>
      <w:fldChar w:fldCharType="begin"/>
    </w:r>
    <w:r>
      <w:rPr>
        <w:rStyle w:val="13"/>
        <w:rFonts w:hint="eastAsia" w:ascii="宋体" w:hAnsi="宋体" w:eastAsia="宋体"/>
        <w:sz w:val="28"/>
      </w:rPr>
      <w:instrText xml:space="preserve"> PAGE </w:instrText>
    </w:r>
    <w:r>
      <w:rPr>
        <w:rFonts w:hint="eastAsia" w:ascii="宋体" w:hAnsi="宋体" w:eastAsia="宋体"/>
        <w:sz w:val="28"/>
      </w:rPr>
      <w:fldChar w:fldCharType="separate"/>
    </w:r>
    <w:r>
      <w:rPr>
        <w:rStyle w:val="13"/>
        <w:rFonts w:ascii="宋体" w:hAnsi="宋体" w:eastAsia="宋体"/>
        <w:sz w:val="28"/>
      </w:rPr>
      <w:t>16</w:t>
    </w:r>
    <w:r>
      <w:rPr>
        <w:rFonts w:hint="eastAsia" w:ascii="宋体" w:hAnsi="宋体" w:eastAsia="宋体"/>
        <w:sz w:val="28"/>
      </w:rPr>
      <w:fldChar w:fldCharType="end"/>
    </w:r>
    <w:r>
      <w:rPr>
        <w:rStyle w:val="13"/>
        <w:rFonts w:hint="eastAsia" w:ascii="宋体" w:hAnsi="宋体" w:eastAsia="宋体"/>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2OWNjOTM4YTlhMWVkOTM5ODVkODkzZGRkNDZmMWUifQ=="/>
  </w:docVars>
  <w:rsids>
    <w:rsidRoot w:val="00CF259F"/>
    <w:rsid w:val="00005480"/>
    <w:rsid w:val="000059C3"/>
    <w:rsid w:val="00015DE8"/>
    <w:rsid w:val="00030211"/>
    <w:rsid w:val="00054304"/>
    <w:rsid w:val="00060C3F"/>
    <w:rsid w:val="000641D4"/>
    <w:rsid w:val="00066934"/>
    <w:rsid w:val="000678DB"/>
    <w:rsid w:val="000A4541"/>
    <w:rsid w:val="000A4EF0"/>
    <w:rsid w:val="000B3008"/>
    <w:rsid w:val="000B333C"/>
    <w:rsid w:val="000B5D25"/>
    <w:rsid w:val="000C20DB"/>
    <w:rsid w:val="000C7768"/>
    <w:rsid w:val="000D2878"/>
    <w:rsid w:val="000D6E51"/>
    <w:rsid w:val="000E38D9"/>
    <w:rsid w:val="00100F96"/>
    <w:rsid w:val="001058DE"/>
    <w:rsid w:val="00121558"/>
    <w:rsid w:val="00122257"/>
    <w:rsid w:val="00133921"/>
    <w:rsid w:val="00133E90"/>
    <w:rsid w:val="00172C24"/>
    <w:rsid w:val="00173BAC"/>
    <w:rsid w:val="001759BF"/>
    <w:rsid w:val="001813FA"/>
    <w:rsid w:val="00191E30"/>
    <w:rsid w:val="001964AD"/>
    <w:rsid w:val="001A1FFA"/>
    <w:rsid w:val="001B79AE"/>
    <w:rsid w:val="001D0179"/>
    <w:rsid w:val="001D6EE3"/>
    <w:rsid w:val="001D7E8F"/>
    <w:rsid w:val="001F0314"/>
    <w:rsid w:val="00213468"/>
    <w:rsid w:val="00252326"/>
    <w:rsid w:val="00291B00"/>
    <w:rsid w:val="002A600A"/>
    <w:rsid w:val="002F2B92"/>
    <w:rsid w:val="0033389F"/>
    <w:rsid w:val="0034205C"/>
    <w:rsid w:val="00342C1D"/>
    <w:rsid w:val="00344CF5"/>
    <w:rsid w:val="0034665C"/>
    <w:rsid w:val="00350DA0"/>
    <w:rsid w:val="00352587"/>
    <w:rsid w:val="003623F1"/>
    <w:rsid w:val="003657D1"/>
    <w:rsid w:val="0038654B"/>
    <w:rsid w:val="003A3B59"/>
    <w:rsid w:val="003C0E46"/>
    <w:rsid w:val="003E7496"/>
    <w:rsid w:val="003F1FC6"/>
    <w:rsid w:val="00413466"/>
    <w:rsid w:val="00432425"/>
    <w:rsid w:val="00436A71"/>
    <w:rsid w:val="00436B78"/>
    <w:rsid w:val="00484762"/>
    <w:rsid w:val="004910EC"/>
    <w:rsid w:val="004A6853"/>
    <w:rsid w:val="004B76D4"/>
    <w:rsid w:val="004D737E"/>
    <w:rsid w:val="004E058B"/>
    <w:rsid w:val="004E2EC7"/>
    <w:rsid w:val="004F4F57"/>
    <w:rsid w:val="00514D3A"/>
    <w:rsid w:val="00536AD1"/>
    <w:rsid w:val="005442E0"/>
    <w:rsid w:val="00560B17"/>
    <w:rsid w:val="00562368"/>
    <w:rsid w:val="0056794F"/>
    <w:rsid w:val="005C0370"/>
    <w:rsid w:val="005C7B8D"/>
    <w:rsid w:val="005F65CD"/>
    <w:rsid w:val="00610822"/>
    <w:rsid w:val="0063784C"/>
    <w:rsid w:val="00640C50"/>
    <w:rsid w:val="00644F4B"/>
    <w:rsid w:val="00647491"/>
    <w:rsid w:val="006539F6"/>
    <w:rsid w:val="00691E71"/>
    <w:rsid w:val="00695842"/>
    <w:rsid w:val="006B36D0"/>
    <w:rsid w:val="006F0FD4"/>
    <w:rsid w:val="006F5D09"/>
    <w:rsid w:val="00716965"/>
    <w:rsid w:val="00730760"/>
    <w:rsid w:val="00733489"/>
    <w:rsid w:val="00747B30"/>
    <w:rsid w:val="00750279"/>
    <w:rsid w:val="0075223D"/>
    <w:rsid w:val="0075785D"/>
    <w:rsid w:val="00776DBC"/>
    <w:rsid w:val="007874E2"/>
    <w:rsid w:val="007F6FB8"/>
    <w:rsid w:val="00802CD4"/>
    <w:rsid w:val="00803D09"/>
    <w:rsid w:val="00806347"/>
    <w:rsid w:val="00825258"/>
    <w:rsid w:val="0082564F"/>
    <w:rsid w:val="00827047"/>
    <w:rsid w:val="00856E5E"/>
    <w:rsid w:val="00860B8F"/>
    <w:rsid w:val="008A3709"/>
    <w:rsid w:val="008C51F0"/>
    <w:rsid w:val="008D1003"/>
    <w:rsid w:val="008D6828"/>
    <w:rsid w:val="008F3BE1"/>
    <w:rsid w:val="00902123"/>
    <w:rsid w:val="00926362"/>
    <w:rsid w:val="009405E1"/>
    <w:rsid w:val="009478B4"/>
    <w:rsid w:val="009516F8"/>
    <w:rsid w:val="00971C45"/>
    <w:rsid w:val="009858AB"/>
    <w:rsid w:val="0099221E"/>
    <w:rsid w:val="009944AC"/>
    <w:rsid w:val="009A5FE1"/>
    <w:rsid w:val="009A7C1C"/>
    <w:rsid w:val="009C1F2D"/>
    <w:rsid w:val="009C2012"/>
    <w:rsid w:val="009D0B66"/>
    <w:rsid w:val="009D2732"/>
    <w:rsid w:val="009E3B9F"/>
    <w:rsid w:val="009F64BE"/>
    <w:rsid w:val="00A137F4"/>
    <w:rsid w:val="00A17C82"/>
    <w:rsid w:val="00A31D6B"/>
    <w:rsid w:val="00A40C39"/>
    <w:rsid w:val="00A4222F"/>
    <w:rsid w:val="00A51FE1"/>
    <w:rsid w:val="00AA0FA3"/>
    <w:rsid w:val="00AA3CEC"/>
    <w:rsid w:val="00AA4108"/>
    <w:rsid w:val="00AB0037"/>
    <w:rsid w:val="00AC1C6D"/>
    <w:rsid w:val="00AC379E"/>
    <w:rsid w:val="00B00F04"/>
    <w:rsid w:val="00B04881"/>
    <w:rsid w:val="00B1311F"/>
    <w:rsid w:val="00B155D1"/>
    <w:rsid w:val="00B261F2"/>
    <w:rsid w:val="00B35F93"/>
    <w:rsid w:val="00B3718B"/>
    <w:rsid w:val="00B61DFE"/>
    <w:rsid w:val="00B91873"/>
    <w:rsid w:val="00BB7455"/>
    <w:rsid w:val="00BB7F35"/>
    <w:rsid w:val="00BE19F2"/>
    <w:rsid w:val="00BF66A9"/>
    <w:rsid w:val="00BF7A09"/>
    <w:rsid w:val="00C072DB"/>
    <w:rsid w:val="00C22B6F"/>
    <w:rsid w:val="00C6249C"/>
    <w:rsid w:val="00C63D51"/>
    <w:rsid w:val="00C67242"/>
    <w:rsid w:val="00C8505A"/>
    <w:rsid w:val="00CC5EC4"/>
    <w:rsid w:val="00CC7281"/>
    <w:rsid w:val="00CD2FBB"/>
    <w:rsid w:val="00CF259F"/>
    <w:rsid w:val="00CF57BB"/>
    <w:rsid w:val="00D0174A"/>
    <w:rsid w:val="00D047FE"/>
    <w:rsid w:val="00D05F16"/>
    <w:rsid w:val="00D55D4B"/>
    <w:rsid w:val="00D57F17"/>
    <w:rsid w:val="00D6170C"/>
    <w:rsid w:val="00D630CA"/>
    <w:rsid w:val="00D846B9"/>
    <w:rsid w:val="00DB2038"/>
    <w:rsid w:val="00DD1F9B"/>
    <w:rsid w:val="00DD6875"/>
    <w:rsid w:val="00DE2D32"/>
    <w:rsid w:val="00DE3D65"/>
    <w:rsid w:val="00DE4330"/>
    <w:rsid w:val="00DF13EE"/>
    <w:rsid w:val="00E01F54"/>
    <w:rsid w:val="00E1725B"/>
    <w:rsid w:val="00E320D6"/>
    <w:rsid w:val="00E473CD"/>
    <w:rsid w:val="00E77848"/>
    <w:rsid w:val="00E81EF5"/>
    <w:rsid w:val="00E911E3"/>
    <w:rsid w:val="00E92BC0"/>
    <w:rsid w:val="00E95CBD"/>
    <w:rsid w:val="00EB09CD"/>
    <w:rsid w:val="00ED3B02"/>
    <w:rsid w:val="00EE380E"/>
    <w:rsid w:val="00EE7A63"/>
    <w:rsid w:val="00F209AE"/>
    <w:rsid w:val="00F20CDB"/>
    <w:rsid w:val="00F30E71"/>
    <w:rsid w:val="00F47AD3"/>
    <w:rsid w:val="00F532A2"/>
    <w:rsid w:val="00F61DA3"/>
    <w:rsid w:val="00F625D5"/>
    <w:rsid w:val="00F63849"/>
    <w:rsid w:val="00F63BAA"/>
    <w:rsid w:val="00F66A74"/>
    <w:rsid w:val="00F81F7A"/>
    <w:rsid w:val="00F96D02"/>
    <w:rsid w:val="00FA4C87"/>
    <w:rsid w:val="00FD0FCF"/>
    <w:rsid w:val="00FD1F15"/>
    <w:rsid w:val="00FD6D96"/>
    <w:rsid w:val="00FF2CE4"/>
    <w:rsid w:val="01FB0577"/>
    <w:rsid w:val="03306B96"/>
    <w:rsid w:val="04AB0148"/>
    <w:rsid w:val="06FA4D2C"/>
    <w:rsid w:val="0730615B"/>
    <w:rsid w:val="074165A7"/>
    <w:rsid w:val="07F615C4"/>
    <w:rsid w:val="08391469"/>
    <w:rsid w:val="085162FC"/>
    <w:rsid w:val="087A0447"/>
    <w:rsid w:val="09300B06"/>
    <w:rsid w:val="09C5084A"/>
    <w:rsid w:val="0A0C3321"/>
    <w:rsid w:val="0A222B45"/>
    <w:rsid w:val="0C655B4C"/>
    <w:rsid w:val="0D493385"/>
    <w:rsid w:val="0E4017EB"/>
    <w:rsid w:val="0E6D0107"/>
    <w:rsid w:val="0E894A4B"/>
    <w:rsid w:val="0EFB3964"/>
    <w:rsid w:val="0F1B7B63"/>
    <w:rsid w:val="0F3A6DAE"/>
    <w:rsid w:val="0F711151"/>
    <w:rsid w:val="0F8971C2"/>
    <w:rsid w:val="0FD85A54"/>
    <w:rsid w:val="11047F89"/>
    <w:rsid w:val="117F3F4C"/>
    <w:rsid w:val="11851C0B"/>
    <w:rsid w:val="11B81FE1"/>
    <w:rsid w:val="121A4373"/>
    <w:rsid w:val="122338FE"/>
    <w:rsid w:val="12681311"/>
    <w:rsid w:val="134A1F41"/>
    <w:rsid w:val="13BD0062"/>
    <w:rsid w:val="13DB3D64"/>
    <w:rsid w:val="141A2ADF"/>
    <w:rsid w:val="149172AB"/>
    <w:rsid w:val="14FE5F5C"/>
    <w:rsid w:val="16A160D8"/>
    <w:rsid w:val="16AB2114"/>
    <w:rsid w:val="16B32D77"/>
    <w:rsid w:val="16DF3B6C"/>
    <w:rsid w:val="1784278F"/>
    <w:rsid w:val="180B00D9"/>
    <w:rsid w:val="18890233"/>
    <w:rsid w:val="18BB4DF2"/>
    <w:rsid w:val="19120651"/>
    <w:rsid w:val="19B27315"/>
    <w:rsid w:val="1A385A6D"/>
    <w:rsid w:val="1B9D6AB2"/>
    <w:rsid w:val="1DB418AE"/>
    <w:rsid w:val="1E0A37C3"/>
    <w:rsid w:val="1E3E561C"/>
    <w:rsid w:val="1EDD3086"/>
    <w:rsid w:val="1F3B62FE"/>
    <w:rsid w:val="1FF40C89"/>
    <w:rsid w:val="200B777F"/>
    <w:rsid w:val="205A4B00"/>
    <w:rsid w:val="20E6220C"/>
    <w:rsid w:val="21D3051C"/>
    <w:rsid w:val="21E9106C"/>
    <w:rsid w:val="22016900"/>
    <w:rsid w:val="22680EB9"/>
    <w:rsid w:val="242C28E4"/>
    <w:rsid w:val="251315B0"/>
    <w:rsid w:val="252C4420"/>
    <w:rsid w:val="2681079B"/>
    <w:rsid w:val="26CA1052"/>
    <w:rsid w:val="276721DF"/>
    <w:rsid w:val="276854B7"/>
    <w:rsid w:val="277B168E"/>
    <w:rsid w:val="27C923FA"/>
    <w:rsid w:val="28901297"/>
    <w:rsid w:val="28F263D7"/>
    <w:rsid w:val="297432C4"/>
    <w:rsid w:val="29C70AA4"/>
    <w:rsid w:val="29D01312"/>
    <w:rsid w:val="29F6324E"/>
    <w:rsid w:val="2A9C2048"/>
    <w:rsid w:val="2B0A1223"/>
    <w:rsid w:val="2B6D70DD"/>
    <w:rsid w:val="2D35408E"/>
    <w:rsid w:val="2E4159AB"/>
    <w:rsid w:val="2E5B4BB4"/>
    <w:rsid w:val="2F2A5E74"/>
    <w:rsid w:val="2F522CD5"/>
    <w:rsid w:val="2FED0C50"/>
    <w:rsid w:val="301C7296"/>
    <w:rsid w:val="30C23E8A"/>
    <w:rsid w:val="318A33DD"/>
    <w:rsid w:val="31A919B2"/>
    <w:rsid w:val="31E00383"/>
    <w:rsid w:val="3255145A"/>
    <w:rsid w:val="32B223D1"/>
    <w:rsid w:val="33E2715F"/>
    <w:rsid w:val="35C15E71"/>
    <w:rsid w:val="363613A2"/>
    <w:rsid w:val="36E81DFE"/>
    <w:rsid w:val="377063EE"/>
    <w:rsid w:val="378A4460"/>
    <w:rsid w:val="38507FCD"/>
    <w:rsid w:val="387E2D8D"/>
    <w:rsid w:val="390732AE"/>
    <w:rsid w:val="39822409"/>
    <w:rsid w:val="399565E0"/>
    <w:rsid w:val="3A3050D1"/>
    <w:rsid w:val="3A35391F"/>
    <w:rsid w:val="3B626996"/>
    <w:rsid w:val="3B981668"/>
    <w:rsid w:val="3B9D177C"/>
    <w:rsid w:val="3BE218AA"/>
    <w:rsid w:val="3C2D6FA3"/>
    <w:rsid w:val="3D65451B"/>
    <w:rsid w:val="3E083824"/>
    <w:rsid w:val="3E6F5651"/>
    <w:rsid w:val="3ED43E21"/>
    <w:rsid w:val="3EE002FD"/>
    <w:rsid w:val="3F1D716E"/>
    <w:rsid w:val="3F4D1B56"/>
    <w:rsid w:val="3FBB4EA6"/>
    <w:rsid w:val="3FF57DD8"/>
    <w:rsid w:val="40185875"/>
    <w:rsid w:val="4038600E"/>
    <w:rsid w:val="4128697B"/>
    <w:rsid w:val="419453CF"/>
    <w:rsid w:val="41C15304"/>
    <w:rsid w:val="41CA7043"/>
    <w:rsid w:val="425A405F"/>
    <w:rsid w:val="42957651"/>
    <w:rsid w:val="43301127"/>
    <w:rsid w:val="436D3D4D"/>
    <w:rsid w:val="443A04B0"/>
    <w:rsid w:val="44702D04"/>
    <w:rsid w:val="44766F7B"/>
    <w:rsid w:val="44F05012"/>
    <w:rsid w:val="44F376ED"/>
    <w:rsid w:val="459B31D0"/>
    <w:rsid w:val="4647448F"/>
    <w:rsid w:val="473E2065"/>
    <w:rsid w:val="47BC11DC"/>
    <w:rsid w:val="482C6361"/>
    <w:rsid w:val="486A4DA2"/>
    <w:rsid w:val="49F509D5"/>
    <w:rsid w:val="4A54324A"/>
    <w:rsid w:val="4A9A4826"/>
    <w:rsid w:val="4AB304DA"/>
    <w:rsid w:val="4AE44CD1"/>
    <w:rsid w:val="4B571EF3"/>
    <w:rsid w:val="4BD53466"/>
    <w:rsid w:val="4C9D21BD"/>
    <w:rsid w:val="4D1A7FBD"/>
    <w:rsid w:val="4D267823"/>
    <w:rsid w:val="4DBD51D4"/>
    <w:rsid w:val="4E0028CB"/>
    <w:rsid w:val="4E121B55"/>
    <w:rsid w:val="4ECD6AC6"/>
    <w:rsid w:val="4F6A095E"/>
    <w:rsid w:val="50054AB7"/>
    <w:rsid w:val="50650662"/>
    <w:rsid w:val="51F53DC8"/>
    <w:rsid w:val="52BC704D"/>
    <w:rsid w:val="55983288"/>
    <w:rsid w:val="57CE2C6C"/>
    <w:rsid w:val="58FA7DB6"/>
    <w:rsid w:val="590221C2"/>
    <w:rsid w:val="59561B1C"/>
    <w:rsid w:val="5BB93F58"/>
    <w:rsid w:val="5CC44FDE"/>
    <w:rsid w:val="5D1F603D"/>
    <w:rsid w:val="5E39312E"/>
    <w:rsid w:val="5E7E05A8"/>
    <w:rsid w:val="5F610B8F"/>
    <w:rsid w:val="5F9C1BC7"/>
    <w:rsid w:val="606D70BF"/>
    <w:rsid w:val="60934D78"/>
    <w:rsid w:val="60AA1596"/>
    <w:rsid w:val="616C29EC"/>
    <w:rsid w:val="619073AA"/>
    <w:rsid w:val="61C62F2B"/>
    <w:rsid w:val="620D2908"/>
    <w:rsid w:val="63D74F7B"/>
    <w:rsid w:val="63DA0F0F"/>
    <w:rsid w:val="649E3CEB"/>
    <w:rsid w:val="65180DC6"/>
    <w:rsid w:val="65DD6A95"/>
    <w:rsid w:val="66664CDC"/>
    <w:rsid w:val="667271DD"/>
    <w:rsid w:val="66AC566C"/>
    <w:rsid w:val="6727621A"/>
    <w:rsid w:val="672A7AB8"/>
    <w:rsid w:val="68540957"/>
    <w:rsid w:val="6888718C"/>
    <w:rsid w:val="689627C2"/>
    <w:rsid w:val="68B735CD"/>
    <w:rsid w:val="69796AD5"/>
    <w:rsid w:val="6ACA3A8C"/>
    <w:rsid w:val="6B054AC4"/>
    <w:rsid w:val="6B2F2D35"/>
    <w:rsid w:val="6B6317EA"/>
    <w:rsid w:val="6BB34F40"/>
    <w:rsid w:val="6BD9192D"/>
    <w:rsid w:val="6BFD39ED"/>
    <w:rsid w:val="6C57134F"/>
    <w:rsid w:val="6C76170A"/>
    <w:rsid w:val="6E9D5013"/>
    <w:rsid w:val="6EA63EC8"/>
    <w:rsid w:val="6F343BCA"/>
    <w:rsid w:val="6F4D4C8B"/>
    <w:rsid w:val="6F993A2D"/>
    <w:rsid w:val="6FF67EA3"/>
    <w:rsid w:val="70497201"/>
    <w:rsid w:val="705E5D7E"/>
    <w:rsid w:val="70E138DD"/>
    <w:rsid w:val="723F4C6C"/>
    <w:rsid w:val="7270316B"/>
    <w:rsid w:val="72A40476"/>
    <w:rsid w:val="72BA6194"/>
    <w:rsid w:val="741E6BF6"/>
    <w:rsid w:val="74485A21"/>
    <w:rsid w:val="764F753B"/>
    <w:rsid w:val="76B502F9"/>
    <w:rsid w:val="77CD4BBB"/>
    <w:rsid w:val="77E65C7D"/>
    <w:rsid w:val="782A60AE"/>
    <w:rsid w:val="785B0A62"/>
    <w:rsid w:val="78851F17"/>
    <w:rsid w:val="791A3E30"/>
    <w:rsid w:val="7A27134B"/>
    <w:rsid w:val="7ACA3634"/>
    <w:rsid w:val="7ACC115A"/>
    <w:rsid w:val="7AD149C3"/>
    <w:rsid w:val="7B9F23CB"/>
    <w:rsid w:val="7BDD0D68"/>
    <w:rsid w:val="7C3A6597"/>
    <w:rsid w:val="7CB63E0B"/>
    <w:rsid w:val="7E6B58D5"/>
    <w:rsid w:val="7F0342B0"/>
    <w:rsid w:val="7F6A6A30"/>
    <w:rsid w:val="7F856B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kern w:val="44"/>
      <w:sz w:val="48"/>
      <w:szCs w:val="4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qFormat/>
    <w:uiPriority w:val="0"/>
    <w:pPr>
      <w:widowControl w:val="0"/>
      <w:autoSpaceDE w:val="0"/>
      <w:autoSpaceDN w:val="0"/>
      <w:ind w:firstLine="420" w:firstLineChars="200"/>
      <w:jc w:val="both"/>
      <w:textAlignment w:val="baseline"/>
    </w:pPr>
    <w:rPr>
      <w:rFonts w:ascii="宋体" w:hAnsi="宋体" w:eastAsia="宋体" w:cs="宋体"/>
      <w:kern w:val="2"/>
      <w:sz w:val="22"/>
      <w:szCs w:val="22"/>
      <w:lang w:val="zh-CN" w:eastAsia="zh-CN" w:bidi="zh-CN"/>
    </w:rPr>
  </w:style>
  <w:style w:type="paragraph" w:styleId="4">
    <w:name w:val="annotation text"/>
    <w:basedOn w:val="1"/>
    <w:link w:val="20"/>
    <w:uiPriority w:val="0"/>
    <w:pPr>
      <w:jc w:val="left"/>
    </w:pPr>
  </w:style>
  <w:style w:type="paragraph" w:styleId="5">
    <w:name w:val="Body Text"/>
    <w:basedOn w:val="1"/>
    <w:next w:val="1"/>
    <w:qFormat/>
    <w:uiPriority w:val="0"/>
    <w:pPr>
      <w:spacing w:after="120"/>
    </w:pPr>
  </w:style>
  <w:style w:type="paragraph" w:styleId="6">
    <w:name w:val="Body Text Indent"/>
    <w:basedOn w:val="1"/>
    <w:next w:val="3"/>
    <w:unhideWhenUsed/>
    <w:qFormat/>
    <w:uiPriority w:val="99"/>
    <w:pPr>
      <w:spacing w:after="120"/>
      <w:ind w:left="420" w:leftChars="200"/>
    </w:pPr>
  </w:style>
  <w:style w:type="paragraph" w:styleId="7">
    <w:name w:val="footer"/>
    <w:basedOn w:val="1"/>
    <w:qFormat/>
    <w:uiPriority w:val="0"/>
    <w:pPr>
      <w:tabs>
        <w:tab w:val="center" w:pos="4153"/>
        <w:tab w:val="right" w:pos="8306"/>
      </w:tabs>
      <w:overflowPunct w:val="0"/>
      <w:autoSpaceDE w:val="0"/>
      <w:autoSpaceDN w:val="0"/>
      <w:adjustRightInd w:val="0"/>
      <w:textAlignment w:val="baseline"/>
    </w:pPr>
    <w:rPr>
      <w:sz w:val="20"/>
    </w:rPr>
  </w:style>
  <w:style w:type="paragraph" w:styleId="8">
    <w:name w:val="header"/>
    <w:basedOn w:val="1"/>
    <w:link w:val="17"/>
    <w:qFormat/>
    <w:uiPriority w:val="0"/>
    <w:pP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annotation subject"/>
    <w:basedOn w:val="4"/>
    <w:next w:val="4"/>
    <w:link w:val="21"/>
    <w:uiPriority w:val="0"/>
    <w:rPr>
      <w:b/>
      <w:bCs/>
    </w:rPr>
  </w:style>
  <w:style w:type="character" w:styleId="13">
    <w:name w:val="page number"/>
    <w:basedOn w:val="12"/>
    <w:qFormat/>
    <w:uiPriority w:val="0"/>
  </w:style>
  <w:style w:type="character" w:styleId="14">
    <w:name w:val="annotation reference"/>
    <w:basedOn w:val="12"/>
    <w:uiPriority w:val="0"/>
    <w:rPr>
      <w:sz w:val="21"/>
      <w:szCs w:val="21"/>
    </w:rPr>
  </w:style>
  <w:style w:type="paragraph" w:customStyle="1" w:styleId="15">
    <w:name w:val="正文首行缩进 21"/>
    <w:basedOn w:val="6"/>
    <w:qFormat/>
    <w:uiPriority w:val="0"/>
    <w:pPr>
      <w:ind w:firstLine="420"/>
    </w:pPr>
    <w:rPr>
      <w:rFonts w:ascii="Calibri" w:hAnsi="Calibri" w:eastAsia="宋体"/>
      <w:szCs w:val="24"/>
    </w:rPr>
  </w:style>
  <w:style w:type="character" w:customStyle="1" w:styleId="16">
    <w:name w:val="sect2title1"/>
    <w:basedOn w:val="12"/>
    <w:qFormat/>
    <w:uiPriority w:val="0"/>
    <w:rPr>
      <w:rFonts w:hint="eastAsia" w:ascii="微软雅黑" w:hAnsi="微软雅黑" w:eastAsia="微软雅黑"/>
      <w:b/>
      <w:bCs/>
      <w:sz w:val="21"/>
      <w:szCs w:val="21"/>
    </w:rPr>
  </w:style>
  <w:style w:type="character" w:customStyle="1" w:styleId="17">
    <w:name w:val="页眉 字符"/>
    <w:basedOn w:val="12"/>
    <w:link w:val="8"/>
    <w:qFormat/>
    <w:uiPriority w:val="0"/>
    <w:rPr>
      <w:rFonts w:ascii="Times New Roman" w:hAnsi="Times New Roman" w:eastAsia="仿宋_GB2312"/>
      <w:spacing w:val="-6"/>
      <w:kern w:val="2"/>
      <w:sz w:val="18"/>
      <w:szCs w:val="18"/>
    </w:rPr>
  </w:style>
  <w:style w:type="paragraph" w:customStyle="1" w:styleId="18">
    <w:name w:val="修订1"/>
    <w:hidden/>
    <w:unhideWhenUsed/>
    <w:qFormat/>
    <w:uiPriority w:val="99"/>
    <w:rPr>
      <w:rFonts w:ascii="Times New Roman" w:hAnsi="Times New Roman" w:eastAsia="仿宋_GB2312" w:cs="Times New Roman"/>
      <w:spacing w:val="-6"/>
      <w:kern w:val="2"/>
      <w:sz w:val="32"/>
      <w:lang w:val="en-US" w:eastAsia="zh-CN" w:bidi="ar-SA"/>
    </w:rPr>
  </w:style>
  <w:style w:type="paragraph" w:customStyle="1" w:styleId="19">
    <w:name w:val="Revision"/>
    <w:hidden/>
    <w:unhideWhenUsed/>
    <w:uiPriority w:val="99"/>
    <w:rPr>
      <w:rFonts w:ascii="Times New Roman" w:hAnsi="Times New Roman" w:eastAsia="仿宋_GB2312" w:cs="Times New Roman"/>
      <w:spacing w:val="-6"/>
      <w:kern w:val="2"/>
      <w:sz w:val="32"/>
      <w:lang w:val="en-US" w:eastAsia="zh-CN" w:bidi="ar-SA"/>
    </w:rPr>
  </w:style>
  <w:style w:type="character" w:customStyle="1" w:styleId="20">
    <w:name w:val="批注文字 字符"/>
    <w:basedOn w:val="12"/>
    <w:link w:val="4"/>
    <w:uiPriority w:val="0"/>
    <w:rPr>
      <w:rFonts w:eastAsia="仿宋_GB2312"/>
      <w:spacing w:val="-6"/>
      <w:kern w:val="2"/>
      <w:sz w:val="32"/>
    </w:rPr>
  </w:style>
  <w:style w:type="character" w:customStyle="1" w:styleId="21">
    <w:name w:val="批注主题 字符"/>
    <w:basedOn w:val="20"/>
    <w:link w:val="10"/>
    <w:uiPriority w:val="0"/>
    <w:rPr>
      <w:rFonts w:eastAsia="仿宋_GB2312"/>
      <w:b/>
      <w:bCs/>
      <w:spacing w:val="-6"/>
      <w:kern w:val="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C326-BA28-4B97-8BAC-EACB91A960F7}">
  <ds:schemaRefs/>
</ds:datastoreItem>
</file>

<file path=docProps/app.xml><?xml version="1.0" encoding="utf-8"?>
<Properties xmlns="http://schemas.openxmlformats.org/officeDocument/2006/extended-properties" xmlns:vt="http://schemas.openxmlformats.org/officeDocument/2006/docPropsVTypes">
  <Template>Normal</Template>
  <Pages>10</Pages>
  <Words>740</Words>
  <Characters>4222</Characters>
  <Lines>35</Lines>
  <Paragraphs>9</Paragraphs>
  <TotalTime>34</TotalTime>
  <ScaleCrop>false</ScaleCrop>
  <LinksUpToDate>false</LinksUpToDate>
  <CharactersWithSpaces>4953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2023-11-09T02:19:00Z</dcterms:created>
  <dc:creator>刘雅斌</dc:creator>
  <cp:lastModifiedBy>Amber Z</cp:lastModifiedBy>
  <dcterms:modified xsi:type="dcterms:W3CDTF">2023-11-09T13:53:22Z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9B70BEBE7C504381BC38C2B2F3E37145_13</vt:lpwstr>
  </property>
</Properties>
</file>