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rPr>
      </w:pPr>
    </w:p>
    <w:p>
      <w:pPr>
        <w:widowControl/>
        <w:shd w:val="clear" w:color="auto" w:fill="FFFFFF"/>
        <w:jc w:val="center"/>
        <w:rPr>
          <w:rFonts w:ascii="宋体" w:hAnsi="宋体" w:eastAsia="宋体" w:cs="宋体"/>
          <w:color w:val="333333"/>
          <w:kern w:val="0"/>
          <w:sz w:val="48"/>
          <w:szCs w:val="48"/>
        </w:rPr>
      </w:pPr>
      <w:r>
        <w:rPr>
          <w:rFonts w:hint="eastAsia" w:ascii="宋体" w:hAnsi="宋体" w:eastAsia="宋体" w:cs="宋体"/>
          <w:b/>
          <w:color w:val="333333"/>
          <w:kern w:val="0"/>
          <w:sz w:val="48"/>
          <w:szCs w:val="48"/>
        </w:rPr>
        <w:t>澄迈县退役军人事务局2023年政府信息公开工作年度报告</w:t>
      </w:r>
    </w:p>
    <w:p>
      <w:pPr>
        <w:widowControl/>
        <w:shd w:val="clear" w:color="auto" w:fill="FFFFFF"/>
        <w:ind w:firstLine="480"/>
        <w:rPr>
          <w:rFonts w:ascii="宋体" w:hAnsi="宋体" w:eastAsia="宋体" w:cs="宋体"/>
          <w:color w:val="333333"/>
          <w:kern w:val="0"/>
          <w:sz w:val="48"/>
          <w:szCs w:val="48"/>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color w:val="333333"/>
          <w:kern w:val="0"/>
          <w:sz w:val="24"/>
          <w:szCs w:val="24"/>
        </w:rPr>
        <w:t>一、总体情况</w:t>
      </w:r>
    </w:p>
    <w:p>
      <w:pPr>
        <w:widowControl/>
        <w:shd w:val="clear" w:color="auto" w:fill="FFFFFF"/>
        <w:ind w:left="360"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2023年以来，在县委、县政府的坚强领导下，我局全面贯彻落实党的二十大精神和习近平总书记关于退役军人工作重要论述精神，认真执行《中华人民共和国政府信息公开条例》，扎实做好政府信息公开工作。一是加强组织领导。高度重视信息公开，将政府信息公开工作纳入重要议事日程，形成主要领导亲自抓、分管领导负责抓、岗室负责人具体抓的格局。二是主动及时公开信息。严格按照《中华人民共和国政府信息公开条例》规定主动发布信息、更新信息，及时回应社会关切问题，公开各类政府文件、政府决策、财政预决算执行及就业创业信息公开等群众普遍关心的切身利益热点问题、焦点问题。2023年截至，我局公开政府信息共135篇，其中：公示公告14篇，财政公开10篇，领导介绍3篇,工作动态87篇，部门文件18篇，就业创业信息公开3篇。未出现影响社会稳定、扰乱社会管理秩序的虚假或者不完整的信息。三是加强信息管理。根据《中华人民共和国政府信息公开条例》和《中华人民共和国保守国家秘密法》等法律法规，科学界定涉密、隐私、所有文件公开属性源头认定，严格落实信息发布“三审三校”审核机制，把好信息发布质量审核关，确保信息发布及时、准确。2023年，我局未发生因不履行政务公开义务而发生的责任追究情况。</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color w:val="333333"/>
          <w:kern w:val="0"/>
          <w:sz w:val="24"/>
          <w:szCs w:val="24"/>
        </w:rPr>
        <w:t>二、主动公开政府信息情况</w:t>
      </w:r>
    </w:p>
    <w:tbl>
      <w:tblPr>
        <w:tblStyle w:val="3"/>
        <w:tblW w:w="8140" w:type="dxa"/>
        <w:jc w:val="center"/>
        <w:tblLayout w:type="autofit"/>
        <w:tblCellMar>
          <w:top w:w="0" w:type="dxa"/>
          <w:left w:w="0" w:type="dxa"/>
          <w:bottom w:w="0" w:type="dxa"/>
          <w:right w:w="0" w:type="dxa"/>
        </w:tblCellMar>
      </w:tblPr>
      <w:tblGrid>
        <w:gridCol w:w="3113"/>
        <w:gridCol w:w="1875"/>
        <w:gridCol w:w="1271"/>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w:t>
            </w:r>
          </w:p>
          <w:p>
            <w:pPr>
              <w:widowControl/>
              <w:jc w:val="center"/>
              <w:rPr>
                <w:rFonts w:ascii="宋体" w:hAnsi="宋体" w:eastAsia="宋体" w:cs="宋体"/>
                <w:kern w:val="0"/>
                <w:sz w:val="24"/>
                <w:szCs w:val="24"/>
              </w:rPr>
            </w:pPr>
            <w:r>
              <w:rPr>
                <w:rFonts w:ascii="宋体" w:hAnsi="宋体" w:eastAsia="宋体" w:cs="宋体"/>
                <w:color w:val="000000"/>
                <w:kern w:val="0"/>
                <w:sz w:val="20"/>
                <w:szCs w:val="20"/>
              </w:rPr>
              <w:t>制</w:t>
            </w:r>
            <w:r>
              <w:rPr>
                <w:rFonts w:hint="eastAsia" w:ascii="宋体" w:hAnsi="宋体" w:eastAsia="宋体" w:cs="宋体"/>
                <w:color w:val="000000"/>
                <w:kern w:val="0"/>
                <w:sz w:val="20"/>
                <w:szCs w:val="20"/>
              </w:rPr>
              <w:t>发件</w:t>
            </w:r>
            <w:r>
              <w:rPr>
                <w:rFonts w:ascii="宋体" w:hAnsi="宋体" w:eastAsia="宋体" w:cs="宋体"/>
                <w:color w:val="000000"/>
                <w:kern w:val="0"/>
                <w:sz w:val="20"/>
                <w:szCs w:val="20"/>
              </w:rPr>
              <w:t>数</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w:t>
            </w:r>
          </w:p>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废止件数</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502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502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502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5027" w:type="dxa"/>
            <w:gridSpan w:val="3"/>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6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5027" w:type="dxa"/>
            <w:gridSpan w:val="3"/>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bl>
    <w:p>
      <w:pPr>
        <w:widowControl/>
        <w:shd w:val="clear" w:color="auto" w:fill="FFFFFF"/>
        <w:rPr>
          <w:rFonts w:ascii="宋体" w:hAnsi="宋体" w:eastAsia="宋体" w:cs="宋体"/>
          <w:color w:val="333333"/>
          <w:kern w:val="0"/>
          <w:sz w:val="24"/>
          <w:szCs w:val="24"/>
        </w:rPr>
      </w:pPr>
    </w:p>
    <w:p>
      <w:pPr>
        <w:widowControl/>
        <w:shd w:val="clear" w:color="auto" w:fill="FFFFFF"/>
        <w:spacing w:after="240"/>
        <w:rPr>
          <w:rFonts w:ascii="宋体" w:hAnsi="宋体" w:eastAsia="宋体" w:cs="宋体"/>
          <w:b/>
          <w:color w:val="333333"/>
          <w:kern w:val="0"/>
          <w:sz w:val="24"/>
          <w:szCs w:val="24"/>
        </w:rPr>
      </w:pPr>
    </w:p>
    <w:p>
      <w:pPr>
        <w:widowControl/>
        <w:shd w:val="clear" w:color="auto" w:fill="FFFFFF"/>
        <w:spacing w:after="240"/>
        <w:ind w:firstLine="420"/>
        <w:rPr>
          <w:rFonts w:ascii="宋体" w:hAnsi="宋体" w:eastAsia="宋体" w:cs="宋体"/>
          <w:color w:val="333333"/>
          <w:kern w:val="0"/>
          <w:sz w:val="24"/>
          <w:szCs w:val="24"/>
        </w:rPr>
      </w:pPr>
      <w:r>
        <w:rPr>
          <w:rFonts w:hint="eastAsia" w:ascii="宋体" w:hAnsi="宋体" w:eastAsia="宋体" w:cs="宋体"/>
          <w:b/>
          <w:color w:val="333333"/>
          <w:kern w:val="0"/>
          <w:sz w:val="24"/>
          <w:szCs w:val="24"/>
        </w:rPr>
        <w:t>三、收到和处理政府信息公开申请情况</w:t>
      </w:r>
    </w:p>
    <w:tbl>
      <w:tblPr>
        <w:tblStyle w:val="3"/>
        <w:tblW w:w="9071" w:type="dxa"/>
        <w:jc w:val="center"/>
        <w:tblLayout w:type="autofit"/>
        <w:tblCellMar>
          <w:top w:w="0" w:type="dxa"/>
          <w:left w:w="0" w:type="dxa"/>
          <w:bottom w:w="0" w:type="dxa"/>
          <w:right w:w="0" w:type="dxa"/>
        </w:tblCellMar>
      </w:tblPr>
      <w:tblGrid>
        <w:gridCol w:w="616"/>
        <w:gridCol w:w="1628"/>
        <w:gridCol w:w="1181"/>
        <w:gridCol w:w="787"/>
        <w:gridCol w:w="783"/>
        <w:gridCol w:w="783"/>
        <w:gridCol w:w="787"/>
        <w:gridCol w:w="848"/>
        <w:gridCol w:w="783"/>
        <w:gridCol w:w="875"/>
      </w:tblGrid>
      <w:tr>
        <w:tblPrEx>
          <w:tblCellMar>
            <w:top w:w="0" w:type="dxa"/>
            <w:left w:w="0" w:type="dxa"/>
            <w:bottom w:w="0" w:type="dxa"/>
            <w:right w:w="0" w:type="dxa"/>
          </w:tblCellMar>
        </w:tblPrEx>
        <w:trPr>
          <w:jc w:val="center"/>
        </w:trPr>
        <w:tc>
          <w:tcPr>
            <w:tcW w:w="3180"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（本列数据的勾稽关系为：第一项加第二项之和，等于第三项加第四项之和）</w:t>
            </w:r>
          </w:p>
        </w:tc>
        <w:tc>
          <w:tcPr>
            <w:tcW w:w="5891"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82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自然人</w:t>
            </w:r>
          </w:p>
        </w:tc>
        <w:tc>
          <w:tcPr>
            <w:tcW w:w="41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法人或其他组织</w:t>
            </w:r>
          </w:p>
        </w:tc>
        <w:tc>
          <w:tcPr>
            <w:tcW w:w="916"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商业企业</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科研机构</w:t>
            </w:r>
          </w:p>
        </w:tc>
        <w:tc>
          <w:tcPr>
            <w:tcW w:w="8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社会公益组织</w:t>
            </w:r>
          </w:p>
        </w:tc>
        <w:tc>
          <w:tcPr>
            <w:tcW w:w="8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法律服务机构</w:t>
            </w:r>
          </w:p>
        </w:tc>
        <w:tc>
          <w:tcPr>
            <w:tcW w:w="8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其他</w:t>
            </w:r>
          </w:p>
        </w:tc>
        <w:tc>
          <w:tcPr>
            <w:tcW w:w="0" w:type="auto"/>
            <w:vMerge w:val="continue"/>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r>
      <w:tr>
        <w:tblPrEx>
          <w:tblCellMar>
            <w:top w:w="0" w:type="dxa"/>
            <w:left w:w="0" w:type="dxa"/>
            <w:bottom w:w="0" w:type="dxa"/>
            <w:right w:w="0" w:type="dxa"/>
          </w:tblCellMar>
        </w:tblPrEx>
        <w:trPr>
          <w:jc w:val="center"/>
        </w:trPr>
        <w:tc>
          <w:tcPr>
            <w:tcW w:w="318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一、本年新收政府信息公开申请数量</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318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二、上年结转政府信息公开申请数量</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三、本年度办理结果</w:t>
            </w:r>
          </w:p>
        </w:tc>
        <w:tc>
          <w:tcPr>
            <w:tcW w:w="256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Calibri"/>
                <w:kern w:val="0"/>
                <w:sz w:val="20"/>
                <w:szCs w:val="20"/>
              </w:rPr>
            </w:pPr>
            <w:r>
              <w:rPr>
                <w:rFonts w:hint="eastAsia" w:ascii="宋体" w:hAnsi="宋体" w:eastAsia="宋体" w:cs="Calibri"/>
                <w:kern w:val="0"/>
                <w:sz w:val="20"/>
                <w:szCs w:val="20"/>
              </w:rPr>
              <w:t>（一）予以公开</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256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（二）部分公开（区分处理的，只计这一情形，不计其他情形）</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33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（三）不予公开</w:t>
            </w: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1.属于国家秘密</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2.其他法律行政法规禁止公开</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3.危及“三安全一稳定”</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4.保护第三方合法权益</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5.属于三类内部事务信息</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6.属于四类过程性信息</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7.属于行政执法案卷</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8.属于行政查询事项</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33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（四）无法提供</w:t>
            </w: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1.本机关不掌握相关政府信息</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2.没有现成信息需要另行制作</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3.补正后申请内容仍不明确</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Calibri"/>
                <w:kern w:val="0"/>
                <w:sz w:val="20"/>
                <w:szCs w:val="20"/>
              </w:rPr>
            </w:pPr>
          </w:p>
        </w:tc>
        <w:tc>
          <w:tcPr>
            <w:tcW w:w="133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（五）不予处理</w:t>
            </w: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1.信访举报投诉类申请</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（六）其他处理</w:t>
            </w: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1.申请人无正当理由逾期不补正、行政机关不再处理其政府信息公开申请</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continue"/>
            <w:tcBorders>
              <w:left w:val="nil"/>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2.申请人逾期未按收费通知要求缴纳费用、行政机关不再处理其政府信息公开申请</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continue"/>
            <w:tcBorders>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12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3.其他</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256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318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9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b/>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3"/>
        <w:tblW w:w="9440" w:type="dxa"/>
        <w:jc w:val="center"/>
        <w:tblLayout w:type="autofit"/>
        <w:tblCellMar>
          <w:top w:w="0" w:type="dxa"/>
          <w:left w:w="0" w:type="dxa"/>
          <w:bottom w:w="0" w:type="dxa"/>
          <w:right w:w="0" w:type="dxa"/>
        </w:tblCellMar>
      </w:tblPr>
      <w:tblGrid>
        <w:gridCol w:w="625"/>
        <w:gridCol w:w="625"/>
        <w:gridCol w:w="624"/>
        <w:gridCol w:w="624"/>
        <w:gridCol w:w="589"/>
        <w:gridCol w:w="703"/>
        <w:gridCol w:w="662"/>
        <w:gridCol w:w="622"/>
        <w:gridCol w:w="622"/>
        <w:gridCol w:w="622"/>
        <w:gridCol w:w="622"/>
        <w:gridCol w:w="623"/>
        <w:gridCol w:w="623"/>
        <w:gridCol w:w="624"/>
        <w:gridCol w:w="630"/>
      </w:tblGrid>
      <w:tr>
        <w:tblPrEx>
          <w:tblCellMar>
            <w:top w:w="0" w:type="dxa"/>
            <w:left w:w="0" w:type="dxa"/>
            <w:bottom w:w="0" w:type="dxa"/>
            <w:right w:w="0" w:type="dxa"/>
          </w:tblCellMar>
        </w:tblPrEx>
        <w:trPr>
          <w:jc w:val="center"/>
        </w:trPr>
        <w:tc>
          <w:tcPr>
            <w:tcW w:w="296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1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566"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10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299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566"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6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59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5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color w:val="333333"/>
          <w:kern w:val="0"/>
          <w:sz w:val="24"/>
          <w:szCs w:val="24"/>
        </w:rPr>
        <w:t>五、存在的主要问题及改进情况</w:t>
      </w:r>
    </w:p>
    <w:p>
      <w:pPr>
        <w:widowControl/>
        <w:shd w:val="clear" w:color="auto" w:fill="FFFFFF"/>
        <w:ind w:left="360"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政务信息公开范围还不够全面，公开的内容和形式还欠丰富；信息发布数量和更新频率有待加强，公开的内容需要进一步细化。今后，我局将进一步加大政府信息公开工作的推进力度，以依法便民为重点，推动政府信息公开工作规范化、常态化进行；加强人员培训，通过思想培训强化工作人员的公开意识，提高信息公开的规范性。完善政府信息公开工作制度和机制，坚持把公开作为一项常态工作，进一步规范信息制作、发布流程，稳步拓展信息公开的深度和广度，做到“应发尽发”。确保政务信息公开工作能按照既定的工作流程有效运作，便于公众能够方便查询。继续深入学习《信息公开条例》，增强对政府信息公开工作的认识。细致深化领悟《信息公开条例》精神，把《信息公开条例》的要求融入日常业务工作中，成为机关工作流程的一个重要环节。</w:t>
      </w:r>
    </w:p>
    <w:p>
      <w:pPr>
        <w:widowControl/>
        <w:shd w:val="clear" w:color="auto" w:fill="FFFFFF"/>
        <w:ind w:left="360" w:firstLine="480"/>
        <w:rPr>
          <w:rFonts w:ascii="宋体" w:hAnsi="宋体" w:eastAsia="宋体" w:cs="宋体"/>
          <w:color w:val="333333"/>
          <w:kern w:val="0"/>
          <w:sz w:val="24"/>
          <w:szCs w:val="24"/>
        </w:rPr>
      </w:pPr>
    </w:p>
    <w:p>
      <w:pPr>
        <w:widowControl/>
        <w:shd w:val="clear" w:color="auto" w:fill="FFFFFF"/>
        <w:ind w:left="360"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color w:val="333333"/>
          <w:kern w:val="0"/>
          <w:sz w:val="24"/>
          <w:szCs w:val="24"/>
        </w:rPr>
        <w:t>六、其他需要报告的事项</w:t>
      </w:r>
    </w:p>
    <w:p>
      <w:pPr>
        <w:widowControl/>
        <w:shd w:val="clear" w:color="auto" w:fill="FFFFFF"/>
        <w:ind w:left="360"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w:t>
      </w:r>
    </w:p>
    <w:p>
      <w:pPr>
        <w:rPr>
          <w:rFonts w:ascii="宋体" w:hAnsi="宋体" w:eastAsia="宋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NGU4MTk0NTYxMTJiNTFhMWU1YjVhNmMxMTBkMmQifQ=="/>
  </w:docVars>
  <w:rsids>
    <w:rsidRoot w:val="0E8E465B"/>
    <w:rsid w:val="0E8E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澄迈县党政机关单位</Company>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2024-01-12T09:55:00Z</dcterms:created>
  <dc:creator>夏天的味道</dc:creator>
  <cp:lastModifiedBy>夏天的味道</cp:lastModifiedBy>
  <dcterms:modified xsi:type="dcterms:W3CDTF">2024-01-12T10:03:16Z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FC15E90A11B44A76987D8B804A138F4F_11</vt:lpwstr>
  </property>
</Properties>
</file>