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44"/>
          <w:szCs w:val="44"/>
          <w:lang w:val="en-US" w:eastAsia="zh-Hans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澄迈县人民政府</w:t>
      </w:r>
      <w:r>
        <w:rPr>
          <w:rFonts w:hint="eastAsia" w:ascii="宋体" w:hAnsi="宋体" w:eastAsia="宋体" w:cs="宋体"/>
          <w:sz w:val="44"/>
          <w:szCs w:val="44"/>
          <w:lang w:val="en-US" w:eastAsia="zh-Hans"/>
        </w:rPr>
        <w:t>关于发布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  <w:lang w:eastAsia="zh-CN"/>
        </w:rPr>
        <w:t>澄迈县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陆生</w:t>
      </w:r>
      <w:r>
        <w:rPr>
          <w:rFonts w:hint="eastAsia" w:ascii="宋体" w:hAnsi="宋体" w:eastAsia="宋体" w:cs="宋体"/>
          <w:sz w:val="44"/>
          <w:szCs w:val="44"/>
        </w:rPr>
        <w:t>野生动物禁猎区和禁猎期的通告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atLeas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澄府规</w:t>
      </w:r>
      <w:r>
        <w:rPr>
          <w:rFonts w:hint="eastAsia" w:ascii="楷体_GB2312" w:hAnsi="楷体_GB2312" w:eastAsia="楷体_GB2312" w:cs="楷体_GB2312"/>
          <w:sz w:val="32"/>
          <w:szCs w:val="32"/>
        </w:rPr>
        <w:t>〔20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21</w:t>
      </w:r>
      <w:r>
        <w:rPr>
          <w:rFonts w:hint="eastAsia" w:ascii="楷体_GB2312" w:hAnsi="楷体_GB2312" w:eastAsia="楷体_GB2312" w:cs="楷体_GB2312"/>
          <w:sz w:val="32"/>
          <w:szCs w:val="32"/>
        </w:rPr>
        <w:t>〕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为有效保护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陆生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野生动物资源，遏制乱捕滥猎行为，强化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陆生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野生动物源头管理工作，给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陆生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野生动物创造一个安全的栖息和繁衍环境，根据《中华人民共和国野生动物保护法》《海南省实施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中华人民共和国野生动物保护法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&gt;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办法》等有关规定，结合我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陆生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野生动物资源现状，决定在我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行政区域划定禁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猎区、禁猎期。现将有关事项通告如下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禁猎区和禁猎期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澄迈县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区域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内均为禁猎区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，全年为禁猎期。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二、禁猎对象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禁猎对象为国家重点保护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陆生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野生动物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国家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保护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有重要生态、科学研究、社会价值的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陆生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野生动物以及海南省省级重点保护的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陆生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生动物。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三、禁猎工具和方法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在禁猎区、禁猎期内，禁止使用军用武器、体育运动枪支气枪、地弓、地枪、毒药、爆炸物、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大铁夹、粘网、电击或电子诱捕装置、声音诱捕、猎套、猎夹及其他危害人畜安全的猎捕工具和装置猎捕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禁止使用夜间照明行猎、歼灭性围猎、火攻、烟熏、挖洞、陷阱、网捕、捡蛋、捣巢等方法猎捕。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四、法律责任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违反野生动物保护法律法规及本通告规定，非法猎捕、收购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出售、利用、加工、转让、运输、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寄和携带野生动物及其产品的，由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综合行政执法部门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县公安局森林分局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依法进行查处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构成犯罪的，移交司法机关依法追究刑事责任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因科学研究、种群调控、疫源疫病监测、航空安全保障或者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其它特殊情况，需要猎捕陆生野生动物的，应依法申办猎捕手续。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（三）任何个人和组织不得有危害生物安全的行为，禁止出售、收购禁猎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野生动物或者其标本，禁止向危害生物安全的个人或者组织提供任何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禁猎对象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野生动物资源，发现泄露或可能泄露资源的线索，应当及时向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相关部门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举报。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五、举报电话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县公安局森林分局电话：0898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67616929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县综合行政执法局电话：0898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67633873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县林业局电话：0898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67616993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六、实施时间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本通告自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2021年12月12日施行，有效期5年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澄迈县人民政府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2021年11月12日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（此件主动公开）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</w:rPr>
      <w:t xml:space="preserve">  </w:t>
    </w:r>
  </w:p>
  <w:p>
    <w:pPr>
      <w:pStyle w:val="5"/>
      <w:wordWrap w:val="0"/>
      <w:ind w:left="4788" w:leftChars="2280" w:firstLine="6400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</w:rPr>
      <w:t>X</w:t>
    </w:r>
    <w:r>
      <w:rPr>
        <w:rFonts w:hint="eastAsia" w:ascii="宋体" w:hAnsi="宋体" w:cs="宋体"/>
        <w:b/>
        <w:bCs/>
        <w:color w:val="005192"/>
        <w:sz w:val="28"/>
        <w:szCs w:val="44"/>
        <w:lang w:eastAsia="zh-CN"/>
      </w:rPr>
      <w:t>澄迈县人民政府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发布     </w:t>
    </w:r>
  </w:p>
  <w:p>
    <w:pPr>
      <w:pStyle w:val="5"/>
      <w:wordWrap w:val="0"/>
      <w:ind w:left="4788" w:leftChars="2280" w:firstLine="5622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extAlignment w:val="center"/>
      <w:rPr>
        <w:rFonts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cs="宋体"/>
        <w:b/>
        <w:bCs/>
        <w:color w:val="005192"/>
        <w:sz w:val="32"/>
        <w:szCs w:val="32"/>
        <w:lang w:eastAsia="zh-CN"/>
      </w:rPr>
      <w:t>澄迈县</w:t>
    </w:r>
    <w:r>
      <w:rPr>
        <w:rFonts w:hint="eastAsia" w:ascii="宋体" w:hAnsi="宋体" w:eastAsia="宋体" w:cs="宋体"/>
        <w:b/>
        <w:bCs/>
        <w:color w:val="005192"/>
        <w:sz w:val="32"/>
        <w:szCs w:val="32"/>
      </w:rPr>
      <w:t>人民政府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0NzBjMTBiNGU1MTU0NGI4NGYxMjgxOWEwNDMyMzMifQ=="/>
  </w:docVars>
  <w:rsids>
    <w:rsidRoot w:val="00172A27"/>
    <w:rsid w:val="00026C0F"/>
    <w:rsid w:val="00090B0A"/>
    <w:rsid w:val="000F39BA"/>
    <w:rsid w:val="00133611"/>
    <w:rsid w:val="001344E9"/>
    <w:rsid w:val="00172A27"/>
    <w:rsid w:val="001B64A9"/>
    <w:rsid w:val="001C5931"/>
    <w:rsid w:val="002173ED"/>
    <w:rsid w:val="002B1DC5"/>
    <w:rsid w:val="003D5854"/>
    <w:rsid w:val="00450B63"/>
    <w:rsid w:val="004B59E1"/>
    <w:rsid w:val="004D0D88"/>
    <w:rsid w:val="00533A07"/>
    <w:rsid w:val="005C6DDD"/>
    <w:rsid w:val="00636EC8"/>
    <w:rsid w:val="00722A1D"/>
    <w:rsid w:val="008D0D77"/>
    <w:rsid w:val="00924F73"/>
    <w:rsid w:val="00A7469D"/>
    <w:rsid w:val="00AD0745"/>
    <w:rsid w:val="00D51618"/>
    <w:rsid w:val="00DC7169"/>
    <w:rsid w:val="00DE5AE8"/>
    <w:rsid w:val="00EA00B0"/>
    <w:rsid w:val="00FA1852"/>
    <w:rsid w:val="019E71BD"/>
    <w:rsid w:val="04B679C3"/>
    <w:rsid w:val="080F63D8"/>
    <w:rsid w:val="09341458"/>
    <w:rsid w:val="0B0912D7"/>
    <w:rsid w:val="152D2DCA"/>
    <w:rsid w:val="1DEC284C"/>
    <w:rsid w:val="1E6523AC"/>
    <w:rsid w:val="22440422"/>
    <w:rsid w:val="31A15F24"/>
    <w:rsid w:val="395347B5"/>
    <w:rsid w:val="39A232A0"/>
    <w:rsid w:val="39E745AA"/>
    <w:rsid w:val="3B5A6BBB"/>
    <w:rsid w:val="3BCF6333"/>
    <w:rsid w:val="3EDA13A6"/>
    <w:rsid w:val="42F058B7"/>
    <w:rsid w:val="436109F6"/>
    <w:rsid w:val="441A38D4"/>
    <w:rsid w:val="4BC77339"/>
    <w:rsid w:val="4C9236C5"/>
    <w:rsid w:val="4DBE5CAD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6F9A5F97"/>
    <w:rsid w:val="721A3931"/>
    <w:rsid w:val="7C9011D9"/>
    <w:rsid w:val="7DC651C5"/>
    <w:rsid w:val="7F8D6510"/>
    <w:rsid w:val="7FC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character" w:styleId="9">
    <w:name w:val="page number"/>
    <w:basedOn w:val="8"/>
    <w:qFormat/>
    <w:uiPriority w:val="0"/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character" w:customStyle="1" w:styleId="1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918</Words>
  <Characters>966</Characters>
  <Lines>18</Lines>
  <Paragraphs>5</Paragraphs>
  <TotalTime>2</TotalTime>
  <ScaleCrop>false</ScaleCrop>
  <LinksUpToDate>false</LinksUpToDate>
  <CharactersWithSpaces>983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2021-09-09T02:41:00Z</dcterms:created>
  <dc:creator>t</dc:creator>
  <cp:lastModifiedBy>Rosa</cp:lastModifiedBy>
  <cp:lastPrinted>2022-07-13T01:45:00Z</cp:lastPrinted>
  <dcterms:modified xsi:type="dcterms:W3CDTF">2022-12-01T03:57:49Z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B4939322766242B1955A558D37D92F41</vt:lpwstr>
  </property>
</Properties>
</file>