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2024年澄迈县</w:t>
      </w:r>
      <w:r>
        <w:rPr>
          <w:rFonts w:hint="eastAsia" w:ascii="方正小标宋简体" w:hAnsi="方正小标宋简体" w:eastAsia="方正小标宋简体" w:cs="方正小标宋简体"/>
          <w:sz w:val="52"/>
          <w:szCs w:val="52"/>
          <w:lang w:eastAsia="zh-CN"/>
        </w:rPr>
        <w:t>财政局</w:t>
      </w:r>
      <w:r>
        <w:rPr>
          <w:rFonts w:hint="eastAsia" w:ascii="方正小标宋简体" w:hAnsi="方正小标宋简体" w:eastAsia="方正小标宋简体" w:cs="方正小标宋简体"/>
          <w:sz w:val="52"/>
          <w:szCs w:val="52"/>
        </w:rPr>
        <w:t>永发政所</w:t>
      </w:r>
      <w:r>
        <w:rPr>
          <w:rFonts w:hint="eastAsia" w:ascii="方正小标宋简体" w:hAnsi="方正小标宋简体" w:eastAsia="方正小标宋简体" w:cs="方正小标宋简体"/>
          <w:sz w:val="52"/>
          <w:szCs w:val="52"/>
          <w:lang w:eastAsia="zh-CN"/>
        </w:rPr>
        <w:t>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ind w:firstLine="3132" w:firstLineChars="600"/>
        <w:rPr>
          <w:rFonts w:hint="eastAsia"/>
          <w:b/>
          <w:bCs/>
          <w:sz w:val="52"/>
          <w:szCs w:val="52"/>
        </w:rPr>
      </w:pPr>
    </w:p>
    <w:p>
      <w:pPr>
        <w:ind w:firstLine="3534" w:firstLineChars="80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目</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rPr>
        <w:t>录</w:t>
      </w:r>
    </w:p>
    <w:p>
      <w:pPr>
        <w:pStyle w:val="6"/>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 xml:space="preserve">  澄迈县永发财政所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cs="仿宋_GB2312"/>
          <w:sz w:val="32"/>
          <w:szCs w:val="32"/>
        </w:rPr>
        <w:t xml:space="preserve">  澄迈县永发财政所2024年</w:t>
      </w:r>
      <w:r>
        <w:rPr>
          <w:rFonts w:hint="eastAsia" w:ascii="黑体" w:hAnsi="黑体" w:eastAsia="黑体" w:cs="仿宋_GB2312"/>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 xml:space="preserve">  澄迈县永发财政所</w:t>
      </w:r>
      <w:r>
        <w:rPr>
          <w:rFonts w:hint="eastAsia" w:ascii="仿宋_GB2312" w:hAnsi="黑体" w:eastAsia="仿宋_GB2312" w:cs="仿宋_GB2312"/>
          <w:sz w:val="32"/>
          <w:szCs w:val="32"/>
        </w:rPr>
        <w:t>2024</w:t>
      </w:r>
      <w:r>
        <w:rPr>
          <w:rFonts w:hint="eastAsia" w:ascii="黑体" w:hAnsi="黑体" w:eastAsia="黑体"/>
          <w:sz w:val="32"/>
          <w:szCs w:val="32"/>
        </w:rPr>
        <w:t>年预算</w:t>
      </w:r>
      <w:r>
        <w:rPr>
          <w:rFonts w:hint="eastAsia" w:ascii="黑体" w:hAnsi="黑体" w:eastAsia="黑体"/>
          <w:sz w:val="32"/>
          <w:szCs w:val="32"/>
          <w:lang w:eastAsia="zh-CN"/>
        </w:rPr>
        <w:t>单位</w:t>
      </w:r>
      <w:r>
        <w:rPr>
          <w:rFonts w:hint="eastAsia" w:ascii="黑体" w:hAnsi="黑体" w:eastAsia="黑体"/>
          <w:sz w:val="32"/>
          <w:szCs w:val="32"/>
        </w:rPr>
        <w:t>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firstLine="0" w:firstLineChars="0"/>
        <w:jc w:val="left"/>
        <w:rPr>
          <w:rFonts w:ascii="仿宋_GB2312" w:hAnsi="仿宋_GB2312" w:eastAsia="仿宋_GB2312" w:cs="仿宋_GB2312"/>
          <w:b/>
          <w:bCs/>
          <w:sz w:val="32"/>
          <w:szCs w:val="32"/>
        </w:rPr>
      </w:pPr>
    </w:p>
    <w:p>
      <w:pPr>
        <w:pStyle w:val="6"/>
        <w:ind w:left="1320" w:firstLine="0" w:firstLineChars="0"/>
        <w:jc w:val="left"/>
        <w:rPr>
          <w:rFonts w:ascii="黑体" w:hAnsi="黑体" w:eastAsia="黑体"/>
          <w:b/>
          <w:bCs/>
          <w:sz w:val="32"/>
          <w:szCs w:val="32"/>
        </w:rPr>
      </w:pPr>
    </w:p>
    <w:p>
      <w:pPr>
        <w:jc w:val="left"/>
        <w:rPr>
          <w:rFonts w:ascii="黑体" w:hAnsi="黑体" w:eastAsia="黑体"/>
          <w:b/>
          <w:bCs/>
          <w:sz w:val="32"/>
          <w:szCs w:val="32"/>
        </w:rPr>
      </w:pPr>
    </w:p>
    <w:p>
      <w:pPr>
        <w:pStyle w:val="6"/>
        <w:numPr>
          <w:numId w:val="0"/>
        </w:numPr>
        <w:ind w:leftChars="0"/>
        <w:jc w:val="both"/>
        <w:rPr>
          <w:rFonts w:ascii="黑体" w:hAnsi="黑体" w:eastAsia="黑体"/>
          <w:b/>
          <w:bCs/>
          <w:sz w:val="36"/>
          <w:szCs w:val="36"/>
        </w:rPr>
        <w:sectPr>
          <w:pgSz w:w="11906" w:h="16838"/>
          <w:pgMar w:top="1440" w:right="1800" w:bottom="1440" w:left="1800" w:header="851" w:footer="992" w:gutter="0"/>
          <w:cols w:space="720" w:num="1"/>
          <w:docGrid w:type="lines" w:linePitch="312" w:charSpace="0"/>
        </w:sectPr>
      </w:pPr>
    </w:p>
    <w:p>
      <w:pPr>
        <w:pStyle w:val="6"/>
        <w:numPr>
          <w:ilvl w:val="0"/>
          <w:numId w:val="4"/>
        </w:numPr>
        <w:ind w:firstLineChars="0"/>
        <w:jc w:val="center"/>
        <w:rPr>
          <w:rFonts w:ascii="黑体" w:hAnsi="黑体" w:eastAsia="黑体"/>
          <w:b/>
          <w:bCs/>
          <w:sz w:val="32"/>
          <w:szCs w:val="32"/>
        </w:rPr>
      </w:pPr>
      <w:r>
        <w:rPr>
          <w:rFonts w:hint="eastAsia" w:ascii="黑体" w:hAnsi="黑体" w:eastAsia="黑体"/>
          <w:b/>
          <w:bCs/>
          <w:sz w:val="32"/>
          <w:szCs w:val="32"/>
        </w:rPr>
        <w:t>澄迈县永发财政所概况</w:t>
      </w:r>
    </w:p>
    <w:p>
      <w:pPr>
        <w:jc w:val="left"/>
        <w:rPr>
          <w:rFonts w:ascii="仿宋_GB2312" w:hAnsi="仿宋_GB2312" w:eastAsia="仿宋_GB2312" w:cs="仿宋_GB2312"/>
          <w:b/>
          <w:bCs/>
          <w:sz w:val="32"/>
          <w:szCs w:val="32"/>
        </w:rPr>
      </w:pPr>
    </w:p>
    <w:p>
      <w:pPr>
        <w:pStyle w:val="10"/>
        <w:numPr>
          <w:ilvl w:val="0"/>
          <w:numId w:val="5"/>
        </w:numPr>
        <w:ind w:firstLineChars="0"/>
        <w:jc w:val="left"/>
        <w:rPr>
          <w:rFonts w:hint="eastAsia" w:ascii="黑体" w:hAnsi="黑体" w:eastAsia="黑体" w:cs="黑体"/>
          <w:b/>
          <w:bCs/>
          <w:sz w:val="32"/>
          <w:szCs w:val="32"/>
        </w:rPr>
      </w:pPr>
      <w:r>
        <w:rPr>
          <w:rFonts w:hint="eastAsia" w:ascii="黑体" w:hAnsi="黑体" w:eastAsia="黑体" w:cs="黑体"/>
          <w:b/>
          <w:bCs/>
          <w:sz w:val="32"/>
          <w:szCs w:val="32"/>
        </w:rPr>
        <w:t>主要职能</w:t>
      </w:r>
    </w:p>
    <w:p>
      <w:pPr>
        <w:pStyle w:val="10"/>
        <w:numPr>
          <w:ilvl w:val="0"/>
          <w:numId w:val="6"/>
        </w:numPr>
        <w:ind w:left="1710" w:leftChars="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负责编制镇级财政预算和预算执行工作；</w:t>
      </w:r>
    </w:p>
    <w:p>
      <w:pPr>
        <w:pStyle w:val="10"/>
        <w:numPr>
          <w:ilvl w:val="0"/>
          <w:numId w:val="6"/>
        </w:numPr>
        <w:ind w:left="1710" w:leftChars="0" w:firstLine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负责组织镇级税收收入和税务部门的协调工作；</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val="0"/>
          <w:bCs w:val="0"/>
          <w:sz w:val="32"/>
          <w:szCs w:val="32"/>
        </w:rPr>
        <w:t>负责镇行政、事业单位人员工资、社会保险费和正常公用经费支出、以及农村干部补助、县追加给镇的专款、镇级财政超收留成财力安排等工作</w:t>
      </w:r>
      <w:r>
        <w:rPr>
          <w:rFonts w:hint="eastAsia" w:ascii="仿宋" w:hAnsi="仿宋" w:eastAsia="仿宋" w:cs="仿宋"/>
          <w:b/>
          <w:bCs/>
          <w:sz w:val="32"/>
          <w:szCs w:val="32"/>
        </w:rPr>
        <w:t>；</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（四）</w:t>
      </w:r>
      <w:r>
        <w:rPr>
          <w:rFonts w:hint="eastAsia" w:ascii="仿宋" w:hAnsi="仿宋" w:eastAsia="仿宋" w:cs="仿宋"/>
          <w:b w:val="0"/>
          <w:bCs w:val="0"/>
          <w:sz w:val="32"/>
          <w:szCs w:val="32"/>
        </w:rPr>
        <w:t>负责镇行政、事业单位税收收入征收管理工作；</w:t>
      </w:r>
    </w:p>
    <w:p>
      <w:pPr>
        <w:ind w:firstLine="643" w:firstLineChars="200"/>
        <w:jc w:val="left"/>
        <w:rPr>
          <w:rFonts w:hint="eastAsia" w:ascii="仿宋" w:hAnsi="仿宋" w:eastAsia="仿宋" w:cs="仿宋"/>
          <w:b w:val="0"/>
          <w:bCs w:val="0"/>
          <w:sz w:val="32"/>
          <w:szCs w:val="32"/>
        </w:rPr>
      </w:pPr>
      <w:r>
        <w:rPr>
          <w:rFonts w:hint="eastAsia" w:ascii="仿宋" w:hAnsi="仿宋" w:eastAsia="仿宋" w:cs="仿宋"/>
          <w:b/>
          <w:bCs/>
          <w:sz w:val="32"/>
          <w:szCs w:val="32"/>
        </w:rPr>
        <w:t>（五）</w:t>
      </w:r>
      <w:r>
        <w:rPr>
          <w:rFonts w:hint="eastAsia" w:ascii="仿宋" w:hAnsi="仿宋" w:eastAsia="仿宋" w:cs="仿宋"/>
          <w:b w:val="0"/>
          <w:bCs w:val="0"/>
          <w:sz w:val="32"/>
          <w:szCs w:val="32"/>
        </w:rPr>
        <w:t>负责镇级财政资金监督检查工作；</w:t>
      </w:r>
    </w:p>
    <w:p>
      <w:pPr>
        <w:ind w:firstLine="643" w:firstLineChars="200"/>
        <w:jc w:val="left"/>
        <w:rPr>
          <w:rFonts w:hint="eastAsia" w:ascii="仿宋" w:hAnsi="仿宋" w:eastAsia="仿宋" w:cs="仿宋"/>
          <w:b w:val="0"/>
          <w:bCs w:val="0"/>
          <w:sz w:val="32"/>
          <w:szCs w:val="32"/>
        </w:rPr>
      </w:pPr>
      <w:r>
        <w:rPr>
          <w:rFonts w:hint="eastAsia" w:ascii="仿宋" w:hAnsi="仿宋" w:eastAsia="仿宋" w:cs="仿宋"/>
          <w:b/>
          <w:bCs/>
          <w:sz w:val="32"/>
          <w:szCs w:val="32"/>
        </w:rPr>
        <w:t>（六）</w:t>
      </w:r>
      <w:r>
        <w:rPr>
          <w:rFonts w:hint="eastAsia" w:ascii="仿宋" w:hAnsi="仿宋" w:eastAsia="仿宋" w:cs="仿宋"/>
          <w:b w:val="0"/>
          <w:bCs w:val="0"/>
          <w:sz w:val="32"/>
          <w:szCs w:val="32"/>
        </w:rPr>
        <w:t>承办上级主管部门和镇委、镇政府交办的其他工作。</w:t>
      </w:r>
    </w:p>
    <w:p>
      <w:pPr>
        <w:pStyle w:val="11"/>
        <w:spacing w:line="600" w:lineRule="exact"/>
        <w:ind w:left="0" w:leftChars="0" w:firstLine="0" w:firstLineChars="0"/>
        <w:jc w:val="left"/>
        <w:rPr>
          <w:rFonts w:hint="eastAsia" w:ascii="黑体" w:hAnsi="黑体" w:eastAsia="黑体" w:cs="仿宋_GB2312"/>
          <w:b/>
          <w:bCs/>
          <w:sz w:val="32"/>
          <w:szCs w:val="32"/>
        </w:rPr>
      </w:pPr>
      <w:r>
        <w:rPr>
          <w:rFonts w:hint="eastAsia" w:ascii="黑体" w:hAnsi="黑体" w:eastAsia="黑体" w:cs="仿宋_GB2312"/>
          <w:b/>
          <w:bCs/>
          <w:sz w:val="32"/>
          <w:szCs w:val="32"/>
          <w:lang w:eastAsia="zh-CN"/>
        </w:rPr>
        <w:t>二、</w:t>
      </w:r>
      <w:r>
        <w:rPr>
          <w:rFonts w:hint="eastAsia" w:ascii="黑体" w:hAnsi="黑体" w:eastAsia="黑体" w:cs="黑体"/>
          <w:b/>
          <w:bCs/>
          <w:kern w:val="2"/>
          <w:sz w:val="32"/>
          <w:szCs w:val="32"/>
          <w:lang w:val="en-US" w:eastAsia="zh-CN" w:bidi="ar-SA"/>
        </w:rPr>
        <w:t>单位预算单位构成</w:t>
      </w:r>
    </w:p>
    <w:p>
      <w:pPr>
        <w:pStyle w:val="11"/>
        <w:spacing w:line="600" w:lineRule="exact"/>
        <w:ind w:firstLine="640"/>
        <w:jc w:val="left"/>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纳入澄迈县</w:t>
      </w:r>
      <w:r>
        <w:rPr>
          <w:rFonts w:hint="eastAsia" w:ascii="仿宋" w:hAnsi="仿宋" w:eastAsia="仿宋" w:cs="仿宋"/>
          <w:color w:val="auto"/>
          <w:kern w:val="2"/>
          <w:sz w:val="32"/>
          <w:szCs w:val="32"/>
          <w:lang w:val="en-US" w:eastAsia="zh-CN" w:bidi="ar-SA"/>
        </w:rPr>
        <w:t>永发财政所2024年单位预算编制范围的二级预算单位包括：</w:t>
      </w:r>
    </w:p>
    <w:p>
      <w:pPr>
        <w:pStyle w:val="6"/>
        <w:numPr>
          <w:ilvl w:val="0"/>
          <w:numId w:val="0"/>
        </w:numPr>
        <w:ind w:leftChars="0" w:firstLine="640" w:firstLineChars="200"/>
        <w:jc w:val="left"/>
        <w:rPr>
          <w:rFonts w:hint="eastAsia" w:ascii="仿宋" w:hAnsi="仿宋" w:eastAsia="仿宋" w:cs="仿宋"/>
          <w:b/>
          <w:bCs/>
          <w:sz w:val="32"/>
          <w:szCs w:val="32"/>
        </w:rPr>
      </w:pPr>
      <w:r>
        <w:rPr>
          <w:rFonts w:hint="eastAsia" w:ascii="仿宋" w:hAnsi="仿宋" w:eastAsia="仿宋" w:cs="仿宋"/>
          <w:sz w:val="32"/>
          <w:szCs w:val="32"/>
          <w:lang w:val="en-US" w:eastAsia="zh-CN"/>
        </w:rPr>
        <w:t>1、</w:t>
      </w:r>
      <w:r>
        <w:rPr>
          <w:rFonts w:hint="eastAsia" w:ascii="仿宋" w:hAnsi="仿宋" w:eastAsia="仿宋" w:cs="仿宋"/>
          <w:color w:val="auto"/>
          <w:kern w:val="2"/>
          <w:sz w:val="32"/>
          <w:szCs w:val="32"/>
          <w:lang w:val="en-US" w:eastAsia="zh-CN" w:bidi="ar-SA"/>
        </w:rPr>
        <w:t>永发财政所（无二级预算单位）</w:t>
      </w:r>
    </w:p>
    <w:p>
      <w:pPr>
        <w:ind w:left="800"/>
        <w:jc w:val="center"/>
        <w:rPr>
          <w:rFonts w:ascii="黑体" w:hAnsi="黑体" w:eastAsia="黑体"/>
          <w:b/>
          <w:bCs/>
          <w:sz w:val="32"/>
          <w:szCs w:val="32"/>
        </w:rPr>
      </w:pPr>
    </w:p>
    <w:p>
      <w:pPr>
        <w:ind w:left="800"/>
        <w:jc w:val="center"/>
        <w:rPr>
          <w:rFonts w:hint="eastAsia" w:ascii="黑体" w:hAnsi="黑体" w:eastAsia="黑体" w:cs="黑体"/>
          <w:b/>
          <w:bCs/>
          <w:sz w:val="32"/>
          <w:szCs w:val="32"/>
        </w:rPr>
      </w:pPr>
      <w:r>
        <w:rPr>
          <w:rFonts w:hint="eastAsia" w:ascii="黑体" w:hAnsi="黑体" w:eastAsia="黑体" w:cs="黑体"/>
          <w:b/>
          <w:bCs/>
          <w:sz w:val="32"/>
          <w:szCs w:val="32"/>
        </w:rPr>
        <w:t>第二部分 澄迈县永发财政所2024年单位预算表</w:t>
      </w:r>
    </w:p>
    <w:p>
      <w:pPr>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详见附件：2024年澄迈县永发财政所单位预算公开表</w:t>
      </w:r>
    </w:p>
    <w:p>
      <w:pPr>
        <w:ind w:firstLine="542" w:firstLineChars="150"/>
        <w:rPr>
          <w:rFonts w:hint="eastAsia" w:ascii="楷体" w:hAnsi="楷体" w:eastAsia="楷体" w:cs="楷体"/>
          <w:b/>
          <w:bCs/>
          <w:sz w:val="36"/>
          <w:szCs w:val="36"/>
        </w:rPr>
      </w:pPr>
    </w:p>
    <w:p>
      <w:pPr>
        <w:ind w:firstLine="482" w:firstLineChars="150"/>
        <w:rPr>
          <w:rFonts w:hint="eastAsia" w:ascii="仿宋_GB2312" w:hAnsi="仿宋_GB2312" w:eastAsia="仿宋_GB2312" w:cs="仿宋_GB2312"/>
          <w:b/>
          <w:bCs/>
          <w:sz w:val="32"/>
          <w:szCs w:val="32"/>
        </w:rPr>
      </w:pPr>
      <w:r>
        <w:rPr>
          <w:rFonts w:hint="eastAsia" w:ascii="黑体" w:hAnsi="黑体" w:eastAsia="黑体" w:cs="黑体"/>
          <w:b/>
          <w:bCs/>
          <w:sz w:val="32"/>
          <w:szCs w:val="32"/>
        </w:rPr>
        <w:t>第三部分 澄迈县永发财政所2024年单位预算情况说明</w:t>
      </w:r>
    </w:p>
    <w:p>
      <w:pPr>
        <w:ind w:firstLine="643" w:firstLineChars="200"/>
        <w:jc w:val="left"/>
        <w:rPr>
          <w:rFonts w:hint="eastAsia" w:ascii="仿宋_GB2312" w:hAnsi="仿宋_GB2312" w:eastAsia="仿宋_GB2312" w:cs="仿宋_GB2312"/>
          <w:b/>
          <w:bCs/>
          <w:sz w:val="32"/>
          <w:szCs w:val="32"/>
        </w:rPr>
      </w:pPr>
      <w:r>
        <w:rPr>
          <w:rFonts w:hint="eastAsia" w:ascii="楷体" w:hAnsi="楷体" w:eastAsia="楷体" w:cs="楷体"/>
          <w:b/>
          <w:bCs/>
          <w:sz w:val="32"/>
          <w:szCs w:val="32"/>
        </w:rPr>
        <w:t>一、关于澄迈县永发财政所2024年财政拨款收支预算情况的总体说明</w:t>
      </w:r>
    </w:p>
    <w:p>
      <w:pPr>
        <w:ind w:firstLine="640" w:firstLineChars="200"/>
        <w:jc w:val="left"/>
        <w:rPr>
          <w:rFonts w:hint="eastAsia" w:ascii="仿宋" w:hAnsi="仿宋" w:eastAsia="仿宋" w:cs="仿宋"/>
          <w:b/>
          <w:bCs/>
          <w:sz w:val="32"/>
          <w:szCs w:val="32"/>
        </w:rPr>
      </w:pPr>
      <w:r>
        <w:rPr>
          <w:rFonts w:hint="eastAsia" w:ascii="仿宋" w:hAnsi="仿宋" w:eastAsia="仿宋" w:cs="仿宋"/>
          <w:b w:val="0"/>
          <w:bCs w:val="0"/>
          <w:sz w:val="32"/>
          <w:szCs w:val="32"/>
        </w:rPr>
        <w:t>澄迈县永发财政所2024年财政拨款收支总预算152.54万元。其中，收入总计152.54万元，包括一般公共预算本年收入152.54万元、上年结转0万元，政府性基金预算本年收入0万元、上年结转0万元；支出总计152.54万元，包括一般公共服务支出120.38万元、社会保障和就业支出13.50万、卫生健康支出11.57万元，住房保障支出7.09万元。</w:t>
      </w:r>
    </w:p>
    <w:p>
      <w:pPr>
        <w:ind w:firstLine="640"/>
        <w:jc w:val="left"/>
        <w:rPr>
          <w:rFonts w:hint="eastAsia" w:ascii="黑体" w:hAnsi="黑体" w:eastAsia="黑体" w:cs="黑体"/>
          <w:b/>
          <w:bCs/>
          <w:sz w:val="32"/>
          <w:szCs w:val="32"/>
        </w:rPr>
      </w:pPr>
      <w:r>
        <w:rPr>
          <w:rFonts w:hint="eastAsia" w:ascii="黑体" w:hAnsi="黑体" w:eastAsia="黑体" w:cs="黑体"/>
          <w:b/>
          <w:bCs/>
          <w:sz w:val="32"/>
          <w:szCs w:val="32"/>
        </w:rPr>
        <w:t>二、关于澄迈县永发财政所2024年一般公共预算当年拨款情况说明</w:t>
      </w:r>
    </w:p>
    <w:p>
      <w:pPr>
        <w:ind w:firstLine="640"/>
        <w:jc w:val="left"/>
        <w:rPr>
          <w:rFonts w:hint="eastAsia" w:ascii="仿宋_GB2312" w:hAnsi="仿宋_GB2312" w:eastAsia="仿宋_GB2312" w:cs="仿宋_GB2312"/>
          <w:b w:val="0"/>
          <w:bCs w:val="0"/>
          <w:sz w:val="32"/>
          <w:szCs w:val="32"/>
        </w:rPr>
      </w:pPr>
      <w:r>
        <w:rPr>
          <w:rFonts w:hint="eastAsia" w:ascii="楷体" w:hAnsi="楷体" w:eastAsia="楷体" w:cs="楷体"/>
          <w:b/>
          <w:bCs/>
          <w:sz w:val="32"/>
          <w:szCs w:val="32"/>
        </w:rPr>
        <w:t>（</w:t>
      </w:r>
      <w:r>
        <w:rPr>
          <w:rFonts w:hint="eastAsia" w:ascii="楷体" w:hAnsi="楷体" w:eastAsia="楷体" w:cs="楷体"/>
          <w:b w:val="0"/>
          <w:bCs w:val="0"/>
          <w:sz w:val="32"/>
          <w:szCs w:val="32"/>
        </w:rPr>
        <w:t>一）一般公共预算当年规模变化情况</w:t>
      </w:r>
    </w:p>
    <w:p>
      <w:pPr>
        <w:ind w:firstLine="640" w:firstLineChars="200"/>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澄迈县永发财政所2024年一般公共预算当年拨款152.54万元，比上年预算数减少8.96万元，主要是人员退休减少。</w:t>
      </w:r>
    </w:p>
    <w:p>
      <w:pPr>
        <w:ind w:firstLine="640"/>
        <w:jc w:val="left"/>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（二）一般公共预算当年拨款结构情况</w:t>
      </w:r>
    </w:p>
    <w:p>
      <w:pPr>
        <w:ind w:firstLine="800" w:firstLineChars="250"/>
        <w:rPr>
          <w:rFonts w:hint="eastAsia" w:ascii="仿宋" w:hAnsi="仿宋" w:eastAsia="仿宋" w:cs="仿宋"/>
          <w:b w:val="0"/>
          <w:bCs w:val="0"/>
          <w:sz w:val="32"/>
          <w:szCs w:val="32"/>
          <w:highlight w:val="yellow"/>
        </w:rPr>
      </w:pPr>
      <w:r>
        <w:rPr>
          <w:rFonts w:hint="eastAsia" w:ascii="仿宋" w:hAnsi="仿宋" w:eastAsia="仿宋" w:cs="仿宋"/>
          <w:b w:val="0"/>
          <w:bCs w:val="0"/>
          <w:sz w:val="32"/>
          <w:szCs w:val="32"/>
        </w:rPr>
        <w:t>一般公共服务（类）支出120.38万元，占78.92%；社会保障和就业支出（类）支出13.50万元，占8.85%；卫生健康支出（类）支出11.57万元，占7.58%；住房保障支出（类）支出7.09万元，占4.65%。</w:t>
      </w:r>
    </w:p>
    <w:p>
      <w:pPr>
        <w:ind w:firstLine="640"/>
        <w:jc w:val="left"/>
        <w:rPr>
          <w:rFonts w:ascii="楷体" w:hAnsi="楷体" w:eastAsia="楷体"/>
          <w:b/>
          <w:bCs/>
          <w:sz w:val="32"/>
          <w:szCs w:val="32"/>
        </w:rPr>
      </w:pPr>
      <w:r>
        <w:rPr>
          <w:rFonts w:hint="eastAsia" w:ascii="楷体" w:hAnsi="楷体" w:eastAsia="楷体" w:cs="楷体"/>
          <w:b w:val="0"/>
          <w:bCs w:val="0"/>
          <w:sz w:val="32"/>
          <w:szCs w:val="32"/>
        </w:rPr>
        <w:t>（三）一般公共预算当年拨款具体使用情况</w:t>
      </w:r>
    </w:p>
    <w:p>
      <w:pPr>
        <w:ind w:firstLine="640" w:firstLineChars="200"/>
        <w:rPr>
          <w:rFonts w:ascii="仿宋_GB2312" w:hAnsi="黑体" w:eastAsia="仿宋_GB2312"/>
          <w:b w:val="0"/>
          <w:bCs w:val="0"/>
          <w:color w:val="FF0000"/>
          <w:sz w:val="32"/>
          <w:szCs w:val="32"/>
        </w:rPr>
      </w:pPr>
      <w:r>
        <w:rPr>
          <w:rFonts w:hint="eastAsia" w:ascii="仿宋" w:hAnsi="仿宋" w:eastAsia="仿宋" w:cs="仿宋"/>
          <w:b w:val="0"/>
          <w:bCs w:val="0"/>
          <w:sz w:val="32"/>
          <w:szCs w:val="32"/>
        </w:rPr>
        <w:t>1.一般公共服务（类）财政事务（款）行政运行（项）2024年预算数为71.94万元，比上年预算数减少55.26万元，主要是人员退休，工作经费支出及编外人员工资社保公积金安排去其他财政事务支出造成预算减少。</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2.一般公共服务（类）财政事务（款）其他财政事务支出（项）2024年预算数为48.44万元，比上年预算数增加48.44万元，主要是增加工作经费支出及编外人员工资社保公积金预算。</w:t>
      </w:r>
    </w:p>
    <w:p>
      <w:pPr>
        <w:ind w:firstLine="640" w:firstLineChars="200"/>
        <w:rPr>
          <w:rFonts w:ascii="仿宋_GB2312" w:hAnsi="黑体" w:eastAsia="仿宋_GB2312"/>
          <w:b w:val="0"/>
          <w:bCs w:val="0"/>
          <w:color w:val="FF0000"/>
          <w:sz w:val="32"/>
          <w:szCs w:val="32"/>
        </w:rPr>
      </w:pPr>
      <w:r>
        <w:rPr>
          <w:rFonts w:hint="eastAsia" w:ascii="仿宋" w:hAnsi="仿宋" w:eastAsia="仿宋" w:cs="仿宋"/>
          <w:b w:val="0"/>
          <w:bCs w:val="0"/>
          <w:sz w:val="32"/>
          <w:szCs w:val="32"/>
        </w:rPr>
        <w:t>3.社会保障和就业支出（类）行政事业单位养老支出（款）机关事业单位基本养老保险缴费支出（项）2024年预算数为8.06万元，比上年预算数减少1.07万元，主要是人员退休减少。</w:t>
      </w:r>
    </w:p>
    <w:p>
      <w:pPr>
        <w:ind w:firstLine="640" w:firstLineChars="200"/>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4. 社会保障和就业支出（类）行政事业单位养老支出（款）机关事业单位职业年金缴费支出（项）2024年预算数为3.84万元，比上年预算数减少0.51万元，主要是人员退休减少。</w:t>
      </w:r>
    </w:p>
    <w:p>
      <w:pPr>
        <w:ind w:firstLine="640" w:firstLineChars="200"/>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5. 社会保障和就业支出（类）抚恤（款）其他优抚支出（项）2024年预算数为0.62万元，比上年预算数减少0.39万元，主要是民政已补助，2024年相对应减少预算。</w:t>
      </w:r>
    </w:p>
    <w:p>
      <w:pPr>
        <w:ind w:firstLine="640" w:firstLineChars="200"/>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6. 社会保障和就业支出（类）残疾人事业（款）其他残疾人事业支出（项）2024年预算数为0.98万元，比上年预算数增加0.98万元，主要是2024年增加了其他残疾人事业支出预算。</w:t>
      </w:r>
    </w:p>
    <w:p>
      <w:pPr>
        <w:ind w:firstLine="640" w:firstLineChars="200"/>
        <w:rPr>
          <w:rFonts w:hint="eastAsia" w:ascii="仿宋" w:hAnsi="仿宋" w:eastAsia="仿宋" w:cs="仿宋"/>
          <w:b w:val="0"/>
          <w:bCs w:val="0"/>
          <w:color w:val="FF0000"/>
          <w:sz w:val="32"/>
          <w:szCs w:val="32"/>
        </w:rPr>
      </w:pPr>
      <w:r>
        <w:rPr>
          <w:rFonts w:hint="eastAsia" w:ascii="仿宋" w:hAnsi="仿宋" w:eastAsia="仿宋" w:cs="仿宋"/>
          <w:b w:val="0"/>
          <w:bCs w:val="0"/>
          <w:sz w:val="32"/>
          <w:szCs w:val="32"/>
        </w:rPr>
        <w:t>7.卫生健康支出（类）行政事业单位医疗（款）事业单位医疗（项）2024年预算数为3.68万元，比上年预算数减少0.57万元，主要是人员退休减少。</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8.卫生健康支出（类）行政事业单位医疗（款）事业单位医疗（项）2024年预算数为7.89万元，比上年预算数增加0.29万元，主要是人员医疗基数增加。</w:t>
      </w:r>
    </w:p>
    <w:p>
      <w:pPr>
        <w:ind w:firstLine="640" w:firstLineChars="200"/>
        <w:rPr>
          <w:rFonts w:ascii="仿宋_GB2312" w:hAnsi="黑体" w:eastAsia="仿宋_GB2312"/>
          <w:b w:val="0"/>
          <w:bCs w:val="0"/>
          <w:color w:val="FF0000"/>
          <w:sz w:val="32"/>
          <w:szCs w:val="32"/>
        </w:rPr>
      </w:pPr>
      <w:r>
        <w:rPr>
          <w:rFonts w:hint="eastAsia" w:ascii="仿宋" w:hAnsi="仿宋" w:eastAsia="仿宋" w:cs="仿宋"/>
          <w:b w:val="0"/>
          <w:bCs w:val="0"/>
          <w:sz w:val="32"/>
          <w:szCs w:val="32"/>
        </w:rPr>
        <w:t>9.住房保障支出（类）住房改革支出（款）住房公积金（项）2024年预算数为7.09万元，比上年预算数减少0.87万元，主要是人员退休减少。</w:t>
      </w:r>
    </w:p>
    <w:p>
      <w:pPr>
        <w:ind w:firstLine="640"/>
        <w:rPr>
          <w:rFonts w:hint="eastAsia" w:ascii="黑体" w:hAnsi="黑体" w:eastAsia="黑体" w:cs="黑体"/>
          <w:b/>
          <w:bCs/>
          <w:sz w:val="32"/>
          <w:szCs w:val="32"/>
        </w:rPr>
      </w:pPr>
      <w:r>
        <w:rPr>
          <w:rFonts w:hint="eastAsia" w:ascii="黑体" w:hAnsi="黑体" w:eastAsia="黑体" w:cs="黑体"/>
          <w:b/>
          <w:bCs/>
          <w:sz w:val="32"/>
          <w:szCs w:val="32"/>
        </w:rPr>
        <w:t>三、关于澄迈县永发财政所2024年一般公共预算基本支出情况说明</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澄迈县永发财政所2024年一般公共预算基本支出为104.10万元，其中：</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人员经费93.66万元，主要包括：基本工资、津贴补贴、奖金、机关事业单位基本养老保险缴费、职工基本医疗保险缴费、公务员医疗补助缴费、其他社会保障缴费、住房公积金等。</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公用经费10.44万元，主要包括：办公费、水费、电费、物业管理费、差旅费、培训费、劳务费、工会经费、其他商品和服务支出等。</w:t>
      </w:r>
    </w:p>
    <w:p>
      <w:pPr>
        <w:ind w:firstLine="643" w:firstLineChars="200"/>
        <w:rPr>
          <w:rFonts w:hint="eastAsia" w:ascii="仿宋_GB2312" w:hAnsi="仿宋_GB2312" w:eastAsia="仿宋_GB2312" w:cs="仿宋_GB2312"/>
          <w:b/>
          <w:bCs/>
          <w:sz w:val="32"/>
          <w:szCs w:val="32"/>
          <w:shd w:val="clear" w:color="auto" w:fill="FFFFFF"/>
        </w:rPr>
      </w:pPr>
      <w:r>
        <w:rPr>
          <w:rFonts w:hint="eastAsia" w:ascii="黑体" w:hAnsi="黑体" w:eastAsia="黑体" w:cs="黑体"/>
          <w:b/>
          <w:bCs/>
          <w:sz w:val="32"/>
          <w:szCs w:val="32"/>
          <w:shd w:val="clear" w:color="auto" w:fill="FFFFFF"/>
        </w:rPr>
        <w:t>四、澄迈县永发财政所2024年“三公”经费预算情况说明</w:t>
      </w:r>
    </w:p>
    <w:p>
      <w:pPr>
        <w:ind w:firstLine="640" w:firstLineChars="200"/>
        <w:rPr>
          <w:rFonts w:hint="eastAsia" w:ascii="仿宋" w:hAnsi="仿宋" w:eastAsia="仿宋" w:cs="仿宋"/>
          <w:b w:val="0"/>
          <w:bCs w:val="0"/>
          <w:sz w:val="32"/>
          <w:shd w:val="clear" w:color="auto" w:fill="FFFFFF"/>
        </w:rPr>
      </w:pPr>
      <w:r>
        <w:rPr>
          <w:rFonts w:hint="eastAsia" w:ascii="仿宋" w:hAnsi="仿宋" w:eastAsia="仿宋" w:cs="仿宋"/>
          <w:b w:val="0"/>
          <w:bCs w:val="0"/>
          <w:sz w:val="32"/>
          <w:szCs w:val="32"/>
        </w:rPr>
        <w:t>（一）永财政所2024年一般公共预算“三公”经费预算数为0万元，其中：</w:t>
      </w:r>
      <w:r>
        <w:rPr>
          <w:rFonts w:hint="eastAsia" w:ascii="仿宋" w:hAnsi="仿宋" w:eastAsia="仿宋" w:cs="仿宋"/>
          <w:b w:val="0"/>
          <w:bCs w:val="0"/>
          <w:sz w:val="32"/>
          <w:shd w:val="clear" w:color="auto" w:fill="FFFFFF"/>
        </w:rPr>
        <w:t>因公出国（境）经费0</w:t>
      </w:r>
      <w:r>
        <w:rPr>
          <w:rFonts w:hint="eastAsia" w:ascii="仿宋" w:hAnsi="仿宋" w:eastAsia="仿宋" w:cs="仿宋"/>
          <w:b w:val="0"/>
          <w:bCs w:val="0"/>
          <w:sz w:val="32"/>
          <w:szCs w:val="32"/>
        </w:rPr>
        <w:t>万元</w:t>
      </w:r>
      <w:r>
        <w:rPr>
          <w:rFonts w:hint="eastAsia" w:ascii="仿宋" w:hAnsi="仿宋" w:eastAsia="仿宋" w:cs="仿宋"/>
          <w:b w:val="0"/>
          <w:bCs w:val="0"/>
          <w:sz w:val="32"/>
          <w:shd w:val="clear" w:color="auto" w:fill="FFFFFF"/>
        </w:rPr>
        <w:t>，与上年预算持平；公务用车购置及运行费0</w:t>
      </w:r>
      <w:r>
        <w:rPr>
          <w:rFonts w:hint="eastAsia" w:ascii="仿宋" w:hAnsi="仿宋" w:eastAsia="仿宋" w:cs="仿宋"/>
          <w:b w:val="0"/>
          <w:bCs w:val="0"/>
          <w:sz w:val="32"/>
          <w:szCs w:val="32"/>
        </w:rPr>
        <w:t>万元（其中，</w:t>
      </w:r>
      <w:r>
        <w:rPr>
          <w:rFonts w:hint="eastAsia" w:ascii="仿宋" w:hAnsi="仿宋" w:eastAsia="仿宋" w:cs="仿宋"/>
          <w:b w:val="0"/>
          <w:bCs w:val="0"/>
          <w:sz w:val="32"/>
          <w:shd w:val="clear" w:color="auto" w:fill="FFFFFF"/>
        </w:rPr>
        <w:t>公务用车购置费0</w:t>
      </w:r>
      <w:r>
        <w:rPr>
          <w:rFonts w:hint="eastAsia" w:ascii="仿宋" w:hAnsi="仿宋" w:eastAsia="仿宋" w:cs="仿宋"/>
          <w:b w:val="0"/>
          <w:bCs w:val="0"/>
          <w:sz w:val="32"/>
          <w:szCs w:val="32"/>
        </w:rPr>
        <w:t>万元</w:t>
      </w:r>
      <w:r>
        <w:rPr>
          <w:rFonts w:hint="eastAsia" w:ascii="仿宋" w:hAnsi="仿宋" w:eastAsia="仿宋" w:cs="仿宋"/>
          <w:b w:val="0"/>
          <w:bCs w:val="0"/>
          <w:sz w:val="32"/>
          <w:shd w:val="clear" w:color="auto" w:fill="FFFFFF"/>
        </w:rPr>
        <w:t>，公务用车运行费0</w:t>
      </w:r>
      <w:r>
        <w:rPr>
          <w:rFonts w:hint="eastAsia" w:ascii="仿宋" w:hAnsi="仿宋" w:eastAsia="仿宋" w:cs="仿宋"/>
          <w:b w:val="0"/>
          <w:bCs w:val="0"/>
          <w:sz w:val="32"/>
          <w:szCs w:val="32"/>
        </w:rPr>
        <w:t>万元）</w:t>
      </w:r>
      <w:r>
        <w:rPr>
          <w:rFonts w:hint="eastAsia" w:ascii="仿宋" w:hAnsi="仿宋" w:eastAsia="仿宋" w:cs="仿宋"/>
          <w:b w:val="0"/>
          <w:bCs w:val="0"/>
          <w:sz w:val="32"/>
          <w:shd w:val="clear" w:color="auto" w:fill="FFFFFF"/>
        </w:rPr>
        <w:t>，与上年预算持平；</w:t>
      </w:r>
      <w:r>
        <w:rPr>
          <w:rFonts w:hint="eastAsia" w:ascii="仿宋" w:hAnsi="仿宋" w:eastAsia="仿宋" w:cs="仿宋"/>
          <w:b w:val="0"/>
          <w:bCs w:val="0"/>
          <w:sz w:val="32"/>
          <w:szCs w:val="32"/>
        </w:rPr>
        <w:t>公务接待费0</w:t>
      </w:r>
      <w:r>
        <w:rPr>
          <w:rFonts w:hint="eastAsia" w:ascii="仿宋" w:hAnsi="仿宋" w:eastAsia="仿宋" w:cs="仿宋"/>
          <w:b w:val="0"/>
          <w:bCs w:val="0"/>
          <w:sz w:val="32"/>
          <w:shd w:val="clear" w:color="auto" w:fill="FFFFFF"/>
        </w:rPr>
        <w:t>万元，与上年预算持平。</w:t>
      </w:r>
    </w:p>
    <w:p>
      <w:pPr>
        <w:ind w:firstLine="640" w:firstLineChars="200"/>
        <w:rPr>
          <w:rFonts w:ascii="Times New Roman" w:hAnsi="Times New Roman" w:eastAsia="仿宋_GB2312" w:cs="Times New Roman"/>
          <w:b/>
          <w:bCs/>
          <w:sz w:val="32"/>
          <w:shd w:val="clear" w:color="auto" w:fill="FFFFFF"/>
        </w:rPr>
      </w:pPr>
      <w:r>
        <w:rPr>
          <w:rFonts w:hint="eastAsia" w:ascii="仿宋" w:hAnsi="仿宋" w:eastAsia="仿宋" w:cs="仿宋"/>
          <w:b w:val="0"/>
          <w:bCs w:val="0"/>
          <w:sz w:val="32"/>
          <w:szCs w:val="32"/>
        </w:rPr>
        <w:t>（二）澄迈县永发财政所2024年政府性基金预算“三公”经费预算数为0万元，其中：</w:t>
      </w:r>
      <w:r>
        <w:rPr>
          <w:rFonts w:hint="eastAsia" w:ascii="仿宋" w:hAnsi="仿宋" w:eastAsia="仿宋" w:cs="仿宋"/>
          <w:b w:val="0"/>
          <w:bCs w:val="0"/>
          <w:sz w:val="32"/>
          <w:shd w:val="clear" w:color="auto" w:fill="FFFFFF"/>
        </w:rPr>
        <w:t>因公出国（境）经费</w:t>
      </w:r>
      <w:r>
        <w:rPr>
          <w:rFonts w:hint="eastAsia" w:ascii="仿宋" w:hAnsi="仿宋" w:eastAsia="仿宋" w:cs="仿宋"/>
          <w:b w:val="0"/>
          <w:bCs w:val="0"/>
          <w:sz w:val="32"/>
          <w:szCs w:val="32"/>
        </w:rPr>
        <w:t>0万元</w:t>
      </w:r>
      <w:r>
        <w:rPr>
          <w:rFonts w:hint="eastAsia" w:ascii="仿宋" w:hAnsi="仿宋" w:eastAsia="仿宋" w:cs="仿宋"/>
          <w:b w:val="0"/>
          <w:bCs w:val="0"/>
          <w:sz w:val="32"/>
          <w:shd w:val="clear" w:color="auto" w:fill="FFFFFF"/>
        </w:rPr>
        <w:t>，与上年预算持平；公务用车购置及运行费</w:t>
      </w:r>
      <w:r>
        <w:rPr>
          <w:rFonts w:hint="eastAsia" w:ascii="仿宋" w:hAnsi="仿宋" w:eastAsia="仿宋" w:cs="仿宋"/>
          <w:b w:val="0"/>
          <w:bCs w:val="0"/>
          <w:sz w:val="32"/>
          <w:szCs w:val="32"/>
        </w:rPr>
        <w:t>0万元（其中，</w:t>
      </w:r>
      <w:r>
        <w:rPr>
          <w:rFonts w:hint="eastAsia" w:ascii="仿宋" w:hAnsi="仿宋" w:eastAsia="仿宋" w:cs="仿宋"/>
          <w:b w:val="0"/>
          <w:bCs w:val="0"/>
          <w:sz w:val="32"/>
          <w:shd w:val="clear" w:color="auto" w:fill="FFFFFF"/>
        </w:rPr>
        <w:t>公务用车购置费0</w:t>
      </w:r>
      <w:r>
        <w:rPr>
          <w:rFonts w:hint="eastAsia" w:ascii="仿宋" w:hAnsi="仿宋" w:eastAsia="仿宋" w:cs="仿宋"/>
          <w:b w:val="0"/>
          <w:bCs w:val="0"/>
          <w:sz w:val="32"/>
          <w:szCs w:val="32"/>
        </w:rPr>
        <w:t>万元</w:t>
      </w:r>
      <w:r>
        <w:rPr>
          <w:rFonts w:hint="eastAsia" w:ascii="仿宋" w:hAnsi="仿宋" w:eastAsia="仿宋" w:cs="仿宋"/>
          <w:b w:val="0"/>
          <w:bCs w:val="0"/>
          <w:sz w:val="32"/>
          <w:shd w:val="clear" w:color="auto" w:fill="FFFFFF"/>
        </w:rPr>
        <w:t>，公务用车运行费0</w:t>
      </w:r>
      <w:r>
        <w:rPr>
          <w:rFonts w:hint="eastAsia" w:ascii="仿宋" w:hAnsi="仿宋" w:eastAsia="仿宋" w:cs="仿宋"/>
          <w:b w:val="0"/>
          <w:bCs w:val="0"/>
          <w:sz w:val="32"/>
          <w:szCs w:val="32"/>
        </w:rPr>
        <w:t>万元）</w:t>
      </w:r>
      <w:r>
        <w:rPr>
          <w:rFonts w:hint="eastAsia" w:ascii="仿宋" w:hAnsi="仿宋" w:eastAsia="仿宋" w:cs="仿宋"/>
          <w:b w:val="0"/>
          <w:bCs w:val="0"/>
          <w:sz w:val="32"/>
          <w:shd w:val="clear" w:color="auto" w:fill="FFFFFF"/>
        </w:rPr>
        <w:t>，与上年预算持平；</w:t>
      </w:r>
      <w:r>
        <w:rPr>
          <w:rFonts w:hint="eastAsia" w:ascii="仿宋" w:hAnsi="仿宋" w:eastAsia="仿宋" w:cs="仿宋"/>
          <w:b w:val="0"/>
          <w:bCs w:val="0"/>
          <w:sz w:val="32"/>
          <w:szCs w:val="32"/>
        </w:rPr>
        <w:t>公务接待费0</w:t>
      </w:r>
      <w:r>
        <w:rPr>
          <w:rFonts w:hint="eastAsia" w:ascii="仿宋" w:hAnsi="仿宋" w:eastAsia="仿宋" w:cs="仿宋"/>
          <w:b w:val="0"/>
          <w:bCs w:val="0"/>
          <w:sz w:val="32"/>
          <w:shd w:val="clear" w:color="auto" w:fill="FFFFFF"/>
        </w:rPr>
        <w:t>万元，与上年预算持平。</w:t>
      </w:r>
    </w:p>
    <w:p>
      <w:pPr>
        <w:ind w:firstLine="422" w:firstLineChars="200"/>
        <w:rPr>
          <w:b/>
          <w:bCs/>
        </w:rPr>
      </w:pPr>
    </w:p>
    <w:p>
      <w:pPr>
        <w:ind w:firstLine="643" w:firstLineChars="200"/>
        <w:rPr>
          <w:rFonts w:hint="eastAsia" w:ascii="黑体" w:hAnsi="黑体" w:eastAsia="黑体" w:cs="黑体"/>
          <w:b/>
          <w:bCs/>
          <w:sz w:val="32"/>
          <w:shd w:val="clear" w:color="auto" w:fill="FFFFFF"/>
        </w:rPr>
      </w:pPr>
      <w:r>
        <w:rPr>
          <w:rFonts w:hint="eastAsia" w:ascii="黑体" w:hAnsi="黑体" w:eastAsia="黑体" w:cs="黑体"/>
          <w:b/>
          <w:bCs/>
          <w:sz w:val="32"/>
          <w:shd w:val="clear" w:color="auto" w:fill="FFFFFF"/>
        </w:rPr>
        <w:t>五、关于澄迈县永发财政所2024年政府性基金预算当年拨款情况说明</w:t>
      </w:r>
    </w:p>
    <w:p>
      <w:pPr>
        <w:ind w:firstLine="640"/>
        <w:jc w:val="left"/>
        <w:rPr>
          <w:rFonts w:hint="eastAsia" w:ascii="楷体" w:hAnsi="楷体" w:eastAsia="楷体" w:cs="楷体"/>
          <w:b w:val="0"/>
          <w:bCs w:val="0"/>
          <w:sz w:val="32"/>
          <w:szCs w:val="32"/>
        </w:rPr>
      </w:pPr>
      <w:r>
        <w:rPr>
          <w:rFonts w:hint="eastAsia" w:ascii="楷体" w:hAnsi="楷体" w:eastAsia="楷体" w:cs="楷体"/>
          <w:b w:val="0"/>
          <w:bCs w:val="0"/>
          <w:sz w:val="32"/>
          <w:szCs w:val="32"/>
        </w:rPr>
        <w:t>（一）政府性基金预算当年规模变化情况</w:t>
      </w:r>
    </w:p>
    <w:p>
      <w:pPr>
        <w:ind w:firstLine="640" w:firstLineChars="200"/>
        <w:rPr>
          <w:rFonts w:hint="eastAsia" w:ascii="仿宋_GB2312" w:hAnsi="仿宋_GB2312" w:eastAsia="仿宋_GB2312" w:cs="仿宋_GB2312"/>
          <w:b w:val="0"/>
          <w:bCs w:val="0"/>
          <w:sz w:val="32"/>
          <w:szCs w:val="32"/>
        </w:rPr>
      </w:pPr>
      <w:r>
        <w:rPr>
          <w:rFonts w:hint="eastAsia" w:ascii="仿宋" w:hAnsi="仿宋" w:eastAsia="仿宋" w:cs="仿宋"/>
          <w:b w:val="0"/>
          <w:bCs w:val="0"/>
          <w:sz w:val="32"/>
          <w:szCs w:val="32"/>
        </w:rPr>
        <w:t>澄迈县永发财政所2024年政府性基金预算当年拨款0万元，比上年预算数持平，主要是本部门2024年政府性基金未做预算安排。</w:t>
      </w:r>
    </w:p>
    <w:p>
      <w:pPr>
        <w:ind w:firstLine="640" w:firstLineChars="200"/>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（二）政府性基金预算当年拨款结构情况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本单位2024年政府性基金未做预算安排。</w:t>
      </w:r>
    </w:p>
    <w:p>
      <w:pPr>
        <w:ind w:firstLine="640"/>
        <w:jc w:val="left"/>
        <w:rPr>
          <w:rFonts w:hint="eastAsia" w:ascii="仿宋_GB2312" w:hAnsi="仿宋_GB2312" w:eastAsia="仿宋_GB2312" w:cs="仿宋_GB2312"/>
          <w:b w:val="0"/>
          <w:bCs w:val="0"/>
          <w:sz w:val="32"/>
          <w:szCs w:val="32"/>
        </w:rPr>
      </w:pPr>
      <w:r>
        <w:rPr>
          <w:rFonts w:hint="eastAsia" w:ascii="楷体" w:hAnsi="楷体" w:eastAsia="楷体" w:cs="楷体"/>
          <w:b w:val="0"/>
          <w:bCs w:val="0"/>
          <w:sz w:val="32"/>
          <w:szCs w:val="32"/>
        </w:rPr>
        <w:t>（三）政府性基金预算当年拨款具体使用情况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本单位2024年政府性基金未做预算安排。</w:t>
      </w:r>
    </w:p>
    <w:p>
      <w:pPr>
        <w:ind w:firstLine="643" w:firstLineChars="200"/>
        <w:rPr>
          <w:rFonts w:ascii="黑体" w:hAnsi="黑体" w:eastAsia="黑体"/>
          <w:b/>
          <w:bCs/>
          <w:sz w:val="32"/>
          <w:shd w:val="clear" w:color="auto" w:fill="FFFFFF"/>
        </w:rPr>
      </w:pPr>
      <w:r>
        <w:rPr>
          <w:rFonts w:hint="eastAsia" w:ascii="黑体" w:hAnsi="黑体" w:eastAsia="黑体" w:cs="黑体"/>
          <w:b/>
          <w:bCs/>
          <w:sz w:val="32"/>
          <w:shd w:val="clear" w:color="auto" w:fill="FFFFFF"/>
        </w:rPr>
        <w:t>六、关于澄迈县永发财政所2024年收支预算情况的总体说明</w:t>
      </w:r>
    </w:p>
    <w:p>
      <w:pPr>
        <w:ind w:firstLine="640" w:firstLineChars="200"/>
        <w:rPr>
          <w:rFonts w:ascii="仿宋_GB2312" w:hAnsi="黑体" w:eastAsia="仿宋_GB2312"/>
          <w:b w:val="0"/>
          <w:bCs w:val="0"/>
          <w:sz w:val="32"/>
          <w:szCs w:val="32"/>
        </w:rPr>
      </w:pPr>
      <w:r>
        <w:rPr>
          <w:rFonts w:hint="eastAsia" w:ascii="仿宋" w:hAnsi="仿宋" w:eastAsia="仿宋" w:cs="仿宋"/>
          <w:b w:val="0"/>
          <w:bCs w:val="0"/>
          <w:sz w:val="32"/>
          <w:szCs w:val="32"/>
        </w:rPr>
        <w:t>按照综合预算原则，澄迈县永发财政所所有收入和支出均纳入单位预算管理。收入包括：一般公共预算收入、上年结转；支出包括：一般公共服务支出、社会保障和就业支出、卫生健康支出、住房保障支出。澄迈县永发财政所2024年收支总预算152.54万元。</w:t>
      </w:r>
    </w:p>
    <w:p>
      <w:pPr>
        <w:ind w:firstLine="643" w:firstLineChars="200"/>
        <w:rPr>
          <w:rFonts w:hint="eastAsia" w:ascii="仿宋_GB2312" w:hAnsi="仿宋_GB2312" w:eastAsia="仿宋_GB2312" w:cs="仿宋_GB2312"/>
          <w:b/>
          <w:bCs/>
          <w:sz w:val="32"/>
          <w:shd w:val="clear" w:color="auto" w:fill="FFFFFF"/>
        </w:rPr>
      </w:pPr>
      <w:r>
        <w:rPr>
          <w:rFonts w:hint="eastAsia" w:ascii="黑体" w:hAnsi="黑体" w:eastAsia="黑体" w:cs="黑体"/>
          <w:b/>
          <w:bCs/>
          <w:sz w:val="32"/>
          <w:shd w:val="clear" w:color="auto" w:fill="FFFFFF"/>
        </w:rPr>
        <w:t>七、关于澄迈县永发财政所2024年收入预算情况说明</w:t>
      </w:r>
    </w:p>
    <w:p>
      <w:pPr>
        <w:ind w:firstLine="640" w:firstLineChars="200"/>
        <w:rPr>
          <w:rFonts w:hint="eastAsia" w:ascii="仿宋" w:hAnsi="仿宋" w:eastAsia="仿宋" w:cs="仿宋"/>
          <w:b/>
          <w:bCs/>
          <w:color w:val="FF0000"/>
          <w:sz w:val="32"/>
          <w:szCs w:val="32"/>
        </w:rPr>
      </w:pPr>
      <w:r>
        <w:rPr>
          <w:rFonts w:hint="eastAsia" w:ascii="仿宋" w:hAnsi="仿宋" w:eastAsia="仿宋" w:cs="仿宋"/>
          <w:b w:val="0"/>
          <w:bCs w:val="0"/>
          <w:sz w:val="32"/>
          <w:szCs w:val="32"/>
        </w:rPr>
        <w:t>澄迈县永发财政所2024年收入预算152.54万元，其中：上年结转0万元，占0%；经费拨款收入152.54万元，占100%；政府性基金收入0万元，占0%；专项收入0万元，占0%。比上年预算减少8.96万元，主要是人员退休减少。</w:t>
      </w:r>
    </w:p>
    <w:p>
      <w:pPr>
        <w:ind w:firstLine="643" w:firstLineChars="200"/>
        <w:rPr>
          <w:rFonts w:ascii="黑体" w:hAnsi="黑体" w:eastAsia="黑体" w:cs="Times New Roman"/>
          <w:b/>
          <w:bCs/>
          <w:sz w:val="32"/>
          <w:shd w:val="clear" w:color="auto" w:fill="FFFFFF"/>
        </w:rPr>
      </w:pPr>
      <w:r>
        <w:rPr>
          <w:rFonts w:hint="eastAsia" w:ascii="黑体" w:hAnsi="黑体" w:eastAsia="黑体" w:cs="Times New Roman"/>
          <w:b/>
          <w:bCs/>
          <w:sz w:val="32"/>
          <w:shd w:val="clear" w:color="auto" w:fill="FFFFFF"/>
        </w:rPr>
        <w:t>八、关于澄迈县永发财政所2024</w:t>
      </w:r>
      <w:r>
        <w:rPr>
          <w:rFonts w:ascii="黑体" w:hAnsi="黑体" w:eastAsia="黑体" w:cs="Times New Roman"/>
          <w:b/>
          <w:bCs/>
          <w:sz w:val="32"/>
          <w:shd w:val="clear" w:color="auto" w:fill="FFFFFF"/>
        </w:rPr>
        <w:t>年</w:t>
      </w:r>
      <w:r>
        <w:rPr>
          <w:rFonts w:hint="eastAsia" w:ascii="黑体" w:hAnsi="黑体" w:eastAsia="黑体" w:cs="Times New Roman"/>
          <w:b/>
          <w:bCs/>
          <w:sz w:val="32"/>
          <w:shd w:val="clear" w:color="auto" w:fill="FFFFFF"/>
        </w:rPr>
        <w:t>支出预算情况说明</w:t>
      </w:r>
    </w:p>
    <w:p>
      <w:pPr>
        <w:ind w:firstLine="640" w:firstLineChars="200"/>
        <w:rPr>
          <w:rFonts w:ascii="仿宋_GB2312" w:hAnsi="黑体" w:eastAsia="仿宋_GB2312"/>
          <w:b/>
          <w:bCs/>
          <w:sz w:val="32"/>
          <w:szCs w:val="32"/>
        </w:rPr>
      </w:pPr>
      <w:r>
        <w:rPr>
          <w:rFonts w:hint="eastAsia" w:ascii="仿宋" w:hAnsi="仿宋" w:eastAsia="仿宋" w:cs="仿宋"/>
          <w:b w:val="0"/>
          <w:bCs w:val="0"/>
          <w:sz w:val="32"/>
          <w:szCs w:val="32"/>
        </w:rPr>
        <w:t>澄迈县永发财政所2024年支出预算152.54万元，其中：基本支出104.10万元，占68.24%；项目支出48.44万元，占31.76%。比上年预算数减少8.96万元，主要是人员退休减少。</w:t>
      </w:r>
    </w:p>
    <w:p>
      <w:pPr>
        <w:ind w:firstLine="643" w:firstLineChars="200"/>
        <w:rPr>
          <w:rFonts w:ascii="黑体" w:hAnsi="黑体" w:eastAsia="黑体" w:cs="Times New Roman"/>
          <w:b/>
          <w:bCs/>
          <w:sz w:val="32"/>
          <w:shd w:val="clear" w:color="auto" w:fill="FFFFFF"/>
        </w:rPr>
      </w:pPr>
      <w:r>
        <w:rPr>
          <w:rFonts w:hint="eastAsia" w:ascii="黑体" w:hAnsi="黑体" w:eastAsia="黑体" w:cs="Times New Roman"/>
          <w:b/>
          <w:bCs/>
          <w:sz w:val="32"/>
          <w:shd w:val="clear" w:color="auto" w:fill="FFFFFF"/>
        </w:rPr>
        <w:t>九、其他重要事项的情况说明</w:t>
      </w:r>
    </w:p>
    <w:p>
      <w:pPr>
        <w:ind w:firstLine="643" w:firstLineChars="200"/>
        <w:rPr>
          <w:rFonts w:ascii="楷体" w:hAnsi="楷体" w:eastAsia="楷体"/>
          <w:b/>
          <w:bCs/>
          <w:sz w:val="32"/>
          <w:szCs w:val="32"/>
        </w:rPr>
      </w:pPr>
      <w:r>
        <w:rPr>
          <w:rFonts w:hint="eastAsia" w:ascii="楷体" w:hAnsi="楷体" w:eastAsia="楷体"/>
          <w:b/>
          <w:bCs/>
          <w:sz w:val="32"/>
          <w:szCs w:val="32"/>
        </w:rPr>
        <w:t>（一）机关运行经费</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2024年澄迈县永发财政所的机关运行经费预算</w:t>
      </w:r>
      <w:r>
        <w:rPr>
          <w:rFonts w:hint="eastAsia" w:ascii="仿宋" w:hAnsi="仿宋" w:eastAsia="仿宋" w:cs="仿宋"/>
          <w:b w:val="0"/>
          <w:bCs w:val="0"/>
          <w:sz w:val="32"/>
          <w:szCs w:val="32"/>
          <w:lang w:val="en-US" w:eastAsia="zh-CN"/>
        </w:rPr>
        <w:t>10.44</w:t>
      </w:r>
      <w:r>
        <w:rPr>
          <w:rFonts w:hint="eastAsia" w:ascii="仿宋" w:hAnsi="仿宋" w:eastAsia="仿宋" w:cs="仿宋"/>
          <w:b w:val="0"/>
          <w:bCs w:val="0"/>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b/>
          <w:bCs/>
          <w:sz w:val="32"/>
          <w:szCs w:val="32"/>
        </w:rPr>
      </w:pPr>
      <w:r>
        <w:rPr>
          <w:rFonts w:hint="eastAsia" w:ascii="仿宋" w:hAnsi="仿宋" w:eastAsia="仿宋" w:cs="仿宋"/>
          <w:b w:val="0"/>
          <w:bCs w:val="0"/>
          <w:sz w:val="32"/>
          <w:szCs w:val="32"/>
        </w:rPr>
        <w:t>2024年澄迈县永发财政所政府采购预算总额0万元，其中：政府采购货物预算0万元，政府采购工程预算0万元，政府采购服务预算0万元。</w:t>
      </w:r>
    </w:p>
    <w:p>
      <w:pPr>
        <w:ind w:firstLine="643" w:firstLineChars="200"/>
        <w:rPr>
          <w:rFonts w:ascii="楷体" w:hAnsi="楷体" w:eastAsia="楷体"/>
          <w:b/>
          <w:bCs/>
          <w:sz w:val="32"/>
          <w:szCs w:val="32"/>
        </w:rPr>
      </w:pPr>
      <w:r>
        <w:rPr>
          <w:rFonts w:hint="eastAsia" w:ascii="楷体" w:hAnsi="楷体" w:eastAsia="楷体"/>
          <w:b/>
          <w:bCs/>
          <w:sz w:val="32"/>
          <w:szCs w:val="32"/>
        </w:rPr>
        <w:t>（三）国有资产占有使用情况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截至2024年12月31日，澄迈县永发财政所本级及下属各预算单位共有车辆0辆，其中，领导干部用车0辆，机要通信应急用车0辆、一般执法执勤用车</w:t>
      </w:r>
      <w:bookmarkStart w:id="0" w:name="_GoBack"/>
      <w:bookmarkEnd w:id="0"/>
      <w:r>
        <w:rPr>
          <w:rFonts w:hint="eastAsia" w:ascii="仿宋" w:hAnsi="仿宋" w:eastAsia="仿宋" w:cs="仿宋"/>
          <w:b w:val="0"/>
          <w:bCs w:val="0"/>
          <w:sz w:val="32"/>
          <w:szCs w:val="32"/>
        </w:rPr>
        <w:t>0辆、特种专业技术用车0辆、其他用车0辆。单位价值0万元以上设备0台（套）。</w:t>
      </w:r>
    </w:p>
    <w:p>
      <w:pPr>
        <w:ind w:firstLine="643" w:firstLineChars="200"/>
        <w:rPr>
          <w:rFonts w:ascii="楷体" w:hAnsi="楷体" w:eastAsia="楷体"/>
          <w:b/>
          <w:bCs/>
          <w:sz w:val="32"/>
          <w:szCs w:val="32"/>
          <w:highlight w:val="yellow"/>
        </w:rPr>
      </w:pPr>
      <w:r>
        <w:rPr>
          <w:rFonts w:hint="eastAsia" w:ascii="楷体" w:hAnsi="楷体" w:eastAsia="楷体"/>
          <w:b/>
          <w:bCs/>
          <w:sz w:val="32"/>
          <w:szCs w:val="32"/>
        </w:rPr>
        <w:t>（四）绩效目标设置情况</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2024年澄迈县永发财政所10个项目实行绩效目标管理，涉及一般公共预算152.54万元、政府性基金0万元。</w:t>
      </w:r>
    </w:p>
    <w:p>
      <w:pPr>
        <w:jc w:val="left"/>
        <w:rPr>
          <w:rFonts w:ascii="仿宋_GB2312" w:hAnsi="宋体" w:eastAsia="仿宋_GB2312" w:cs="宋体"/>
          <w:b/>
          <w:bCs/>
          <w:color w:val="000000"/>
          <w:kern w:val="0"/>
          <w:sz w:val="32"/>
          <w:szCs w:val="30"/>
        </w:rPr>
      </w:pPr>
    </w:p>
    <w:p>
      <w:pPr>
        <w:jc w:val="center"/>
        <w:rPr>
          <w:rFonts w:ascii="黑体" w:hAnsi="黑体" w:eastAsia="黑体"/>
          <w:b/>
          <w:bCs/>
          <w:sz w:val="32"/>
          <w:szCs w:val="32"/>
        </w:rPr>
      </w:pPr>
      <w:r>
        <w:rPr>
          <w:rFonts w:hint="eastAsia" w:ascii="黑体" w:hAnsi="黑体" w:eastAsia="黑体"/>
          <w:b/>
          <w:bCs/>
          <w:sz w:val="32"/>
          <w:szCs w:val="32"/>
        </w:rPr>
        <w:t>第四部分</w:t>
      </w:r>
      <w:r>
        <w:rPr>
          <w:rFonts w:hint="eastAsia" w:ascii="黑体" w:hAnsi="黑体" w:eastAsia="黑体"/>
          <w:b/>
          <w:bCs/>
          <w:sz w:val="32"/>
          <w:szCs w:val="32"/>
          <w:lang w:val="en-US" w:eastAsia="zh-CN"/>
        </w:rPr>
        <w:t xml:space="preserve">  </w:t>
      </w:r>
      <w:r>
        <w:rPr>
          <w:rFonts w:hint="eastAsia" w:ascii="黑体" w:hAnsi="黑体" w:eastAsia="黑体"/>
          <w:b/>
          <w:bCs/>
          <w:sz w:val="32"/>
          <w:szCs w:val="32"/>
        </w:rPr>
        <w:t>名词解释</w:t>
      </w:r>
    </w:p>
    <w:p>
      <w:pPr>
        <w:ind w:firstLine="643" w:firstLineChars="200"/>
        <w:jc w:val="left"/>
        <w:rPr>
          <w:rFonts w:ascii="仿宋_GB2312" w:eastAsia="仿宋_GB2312" w:cs="宋体"/>
          <w:b/>
          <w:bCs/>
          <w:color w:val="000000"/>
          <w:kern w:val="0"/>
          <w:sz w:val="32"/>
          <w:szCs w:val="32"/>
          <w:lang w:val="zh-CN"/>
        </w:rPr>
      </w:pP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一、财政拨款收入：指本级财政当年拨付的资金。</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二、事业收入：指事业单位开展专业业务活动及辅助活动取得的收入。</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四、其他收入：指除上述“财政拨款收入”“事业收入”“经营收入”等以外的收入。</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b w:val="0"/>
          <w:bCs w:val="0"/>
          <w:color w:val="000000"/>
          <w:kern w:val="0"/>
          <w:sz w:val="32"/>
          <w:szCs w:val="30"/>
        </w:rPr>
      </w:pPr>
      <w:r>
        <w:rPr>
          <w:rFonts w:hint="eastAsia" w:ascii="仿宋" w:hAnsi="仿宋" w:eastAsia="仿宋" w:cs="仿宋"/>
          <w:b w:val="0"/>
          <w:bCs w:val="0"/>
          <w:color w:val="000000"/>
          <w:kern w:val="0"/>
          <w:sz w:val="32"/>
          <w:szCs w:val="30"/>
        </w:rPr>
        <w:t>六、基本支出：指行政事业单位用于为保障其机构正常运转、完成日常工作任务而发生的人员支出和公用支出。</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十、项目支出：指各部门、各单位为完成其特定的工作任务和事业发展目标所发生的支出。</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 w:hAnsi="仿宋" w:eastAsia="仿宋" w:cs="仿宋"/>
          <w:b w:val="0"/>
          <w:bCs w:val="0"/>
          <w:color w:val="000000"/>
          <w:kern w:val="0"/>
          <w:sz w:val="32"/>
          <w:szCs w:val="30"/>
        </w:rPr>
      </w:pPr>
      <w:r>
        <w:rPr>
          <w:rFonts w:hint="eastAsia" w:ascii="仿宋" w:hAnsi="仿宋" w:eastAsia="仿宋" w:cs="仿宋"/>
          <w:b w:val="0"/>
          <w:bCs w:val="0"/>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3" w:firstLineChars="200"/>
        <w:jc w:val="left"/>
        <w:rPr>
          <w:rFonts w:ascii="仿宋_GB2312" w:hAnsi="宋体" w:eastAsia="仿宋_GB2312" w:cs="宋体"/>
          <w:b/>
          <w:bCs/>
          <w:color w:val="000000"/>
          <w:kern w:val="0"/>
          <w:sz w:val="32"/>
          <w:szCs w:val="30"/>
        </w:rPr>
      </w:pPr>
    </w:p>
    <w:p>
      <w:pPr>
        <w:ind w:firstLine="643" w:firstLineChars="200"/>
        <w:rPr>
          <w:rFonts w:ascii="仿宋_GB2312" w:hAnsi="黑体" w:eastAsia="仿宋_GB2312" w:cs="仿宋_GB2312"/>
          <w:b/>
          <w:bCs/>
          <w:sz w:val="32"/>
          <w:szCs w:val="32"/>
        </w:rPr>
      </w:pPr>
    </w:p>
    <w:p>
      <w:pPr>
        <w:ind w:firstLine="643" w:firstLineChars="200"/>
        <w:jc w:val="left"/>
        <w:rPr>
          <w:rFonts w:ascii="仿宋_GB2312" w:hAnsi="黑体" w:eastAsia="仿宋_GB2312" w:cs="仿宋_GB2312"/>
          <w:b/>
          <w:bCs/>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eastAsia" w:ascii="仿宋" w:hAnsi="仿宋" w:eastAsia="仿宋" w:cs="仿宋"/>
      </w:rPr>
    </w:lvl>
    <w:lvl w:ilvl="1" w:tentative="0">
      <w:start w:val="1"/>
      <w:numFmt w:val="lowerLetter"/>
      <w:lvlText w:val="%2)"/>
      <w:lvlJc w:val="left"/>
      <w:pPr>
        <w:ind w:left="1470" w:hanging="420"/>
      </w:pPr>
      <w:rPr>
        <w:rFonts w:cs="Times New Roman"/>
      </w:rPr>
    </w:lvl>
    <w:lvl w:ilvl="2" w:tentative="0">
      <w:start w:val="1"/>
      <w:numFmt w:val="lowerRoman"/>
      <w:lvlText w:val="%3."/>
      <w:lvlJc w:val="right"/>
      <w:pPr>
        <w:ind w:left="1890" w:hanging="420"/>
      </w:pPr>
      <w:rPr>
        <w:rFonts w:cs="Times New Roman"/>
      </w:rPr>
    </w:lvl>
    <w:lvl w:ilvl="3" w:tentative="0">
      <w:start w:val="1"/>
      <w:numFmt w:val="decimal"/>
      <w:lvlText w:val="%4."/>
      <w:lvlJc w:val="left"/>
      <w:pPr>
        <w:ind w:left="2310" w:hanging="420"/>
      </w:pPr>
      <w:rPr>
        <w:rFonts w:cs="Times New Roman"/>
      </w:rPr>
    </w:lvl>
    <w:lvl w:ilvl="4" w:tentative="0">
      <w:start w:val="1"/>
      <w:numFmt w:val="lowerLetter"/>
      <w:lvlText w:val="%5)"/>
      <w:lvlJc w:val="left"/>
      <w:pPr>
        <w:ind w:left="2730" w:hanging="420"/>
      </w:pPr>
      <w:rPr>
        <w:rFonts w:cs="Times New Roman"/>
      </w:rPr>
    </w:lvl>
    <w:lvl w:ilvl="5" w:tentative="0">
      <w:start w:val="1"/>
      <w:numFmt w:val="lowerRoman"/>
      <w:lvlText w:val="%6."/>
      <w:lvlJc w:val="right"/>
      <w:pPr>
        <w:ind w:left="3150" w:hanging="420"/>
      </w:pPr>
      <w:rPr>
        <w:rFonts w:cs="Times New Roman"/>
      </w:rPr>
    </w:lvl>
    <w:lvl w:ilvl="6" w:tentative="0">
      <w:start w:val="1"/>
      <w:numFmt w:val="decimal"/>
      <w:lvlText w:val="%7."/>
      <w:lvlJc w:val="left"/>
      <w:pPr>
        <w:ind w:left="3570" w:hanging="420"/>
      </w:pPr>
      <w:rPr>
        <w:rFonts w:cs="Times New Roman"/>
      </w:rPr>
    </w:lvl>
    <w:lvl w:ilvl="7" w:tentative="0">
      <w:start w:val="1"/>
      <w:numFmt w:val="lowerLetter"/>
      <w:lvlText w:val="%8)"/>
      <w:lvlJc w:val="left"/>
      <w:pPr>
        <w:ind w:left="3990" w:hanging="420"/>
      </w:pPr>
      <w:rPr>
        <w:rFonts w:cs="Times New Roman"/>
      </w:rPr>
    </w:lvl>
    <w:lvl w:ilvl="8" w:tentative="0">
      <w:start w:val="1"/>
      <w:numFmt w:val="lowerRoman"/>
      <w:lvlText w:val="%9."/>
      <w:lvlJc w:val="right"/>
      <w:pPr>
        <w:ind w:left="441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15CB"/>
    <w:rsid w:val="00005D4B"/>
    <w:rsid w:val="00147758"/>
    <w:rsid w:val="00193BDF"/>
    <w:rsid w:val="001964AA"/>
    <w:rsid w:val="001C4439"/>
    <w:rsid w:val="00270CE0"/>
    <w:rsid w:val="0027444B"/>
    <w:rsid w:val="002D22E1"/>
    <w:rsid w:val="003746E3"/>
    <w:rsid w:val="00380168"/>
    <w:rsid w:val="003970D6"/>
    <w:rsid w:val="003B2D48"/>
    <w:rsid w:val="003C41BB"/>
    <w:rsid w:val="00421E22"/>
    <w:rsid w:val="00423A9B"/>
    <w:rsid w:val="00477E8B"/>
    <w:rsid w:val="004C6947"/>
    <w:rsid w:val="0052084D"/>
    <w:rsid w:val="0052711E"/>
    <w:rsid w:val="005274B1"/>
    <w:rsid w:val="005547F0"/>
    <w:rsid w:val="00572AE2"/>
    <w:rsid w:val="005A4077"/>
    <w:rsid w:val="005E6F16"/>
    <w:rsid w:val="006112E5"/>
    <w:rsid w:val="0079191E"/>
    <w:rsid w:val="007C2C63"/>
    <w:rsid w:val="007D0E7C"/>
    <w:rsid w:val="00871011"/>
    <w:rsid w:val="008C2014"/>
    <w:rsid w:val="008E72DB"/>
    <w:rsid w:val="009A08AB"/>
    <w:rsid w:val="00A157CF"/>
    <w:rsid w:val="00A66EDC"/>
    <w:rsid w:val="00AC3246"/>
    <w:rsid w:val="00AE498B"/>
    <w:rsid w:val="00B44FCF"/>
    <w:rsid w:val="00B54240"/>
    <w:rsid w:val="00C628F9"/>
    <w:rsid w:val="00C63A5F"/>
    <w:rsid w:val="00D60F85"/>
    <w:rsid w:val="00E515CB"/>
    <w:rsid w:val="00ED3708"/>
    <w:rsid w:val="00FE15B2"/>
    <w:rsid w:val="00FE19F1"/>
    <w:rsid w:val="00FE3DF6"/>
    <w:rsid w:val="00FE7FAF"/>
    <w:rsid w:val="011818C5"/>
    <w:rsid w:val="0150715E"/>
    <w:rsid w:val="016F2190"/>
    <w:rsid w:val="01904EDD"/>
    <w:rsid w:val="01D87EB8"/>
    <w:rsid w:val="0205735B"/>
    <w:rsid w:val="02242886"/>
    <w:rsid w:val="024A6992"/>
    <w:rsid w:val="027A6129"/>
    <w:rsid w:val="02BB6CFE"/>
    <w:rsid w:val="02BC6B99"/>
    <w:rsid w:val="02C2085A"/>
    <w:rsid w:val="02FA2939"/>
    <w:rsid w:val="02FC46EE"/>
    <w:rsid w:val="032D27A1"/>
    <w:rsid w:val="033F37FD"/>
    <w:rsid w:val="03400369"/>
    <w:rsid w:val="03676073"/>
    <w:rsid w:val="03A670CA"/>
    <w:rsid w:val="03CC6581"/>
    <w:rsid w:val="03DB550F"/>
    <w:rsid w:val="03E736CE"/>
    <w:rsid w:val="03F704E3"/>
    <w:rsid w:val="040453B0"/>
    <w:rsid w:val="041C737F"/>
    <w:rsid w:val="043C3F57"/>
    <w:rsid w:val="04826F57"/>
    <w:rsid w:val="04916D6F"/>
    <w:rsid w:val="04BF7048"/>
    <w:rsid w:val="04FF2376"/>
    <w:rsid w:val="05137EAE"/>
    <w:rsid w:val="05277E93"/>
    <w:rsid w:val="053F7C65"/>
    <w:rsid w:val="05574E5B"/>
    <w:rsid w:val="056E21DD"/>
    <w:rsid w:val="05910BF1"/>
    <w:rsid w:val="05A00DE4"/>
    <w:rsid w:val="05BD043C"/>
    <w:rsid w:val="05BD516D"/>
    <w:rsid w:val="05BF486B"/>
    <w:rsid w:val="05C263C5"/>
    <w:rsid w:val="05C94246"/>
    <w:rsid w:val="06365D02"/>
    <w:rsid w:val="06423C26"/>
    <w:rsid w:val="06886A2B"/>
    <w:rsid w:val="069C7B7A"/>
    <w:rsid w:val="06A5500F"/>
    <w:rsid w:val="06BE6B49"/>
    <w:rsid w:val="06CB6118"/>
    <w:rsid w:val="06D94363"/>
    <w:rsid w:val="06EB0532"/>
    <w:rsid w:val="07105ED0"/>
    <w:rsid w:val="07421E46"/>
    <w:rsid w:val="07474F8F"/>
    <w:rsid w:val="07504901"/>
    <w:rsid w:val="07917E19"/>
    <w:rsid w:val="079675CC"/>
    <w:rsid w:val="07AF399A"/>
    <w:rsid w:val="07CA2858"/>
    <w:rsid w:val="080A4308"/>
    <w:rsid w:val="08371838"/>
    <w:rsid w:val="08477863"/>
    <w:rsid w:val="084A5A93"/>
    <w:rsid w:val="085C5F22"/>
    <w:rsid w:val="086307D7"/>
    <w:rsid w:val="08A800F4"/>
    <w:rsid w:val="08C0437D"/>
    <w:rsid w:val="08C125BE"/>
    <w:rsid w:val="08C3327C"/>
    <w:rsid w:val="08D2307A"/>
    <w:rsid w:val="08EE020B"/>
    <w:rsid w:val="090A539B"/>
    <w:rsid w:val="090C2204"/>
    <w:rsid w:val="092A0354"/>
    <w:rsid w:val="092D18B4"/>
    <w:rsid w:val="093D66C9"/>
    <w:rsid w:val="0961499E"/>
    <w:rsid w:val="09984ECE"/>
    <w:rsid w:val="09A5348E"/>
    <w:rsid w:val="09A65355"/>
    <w:rsid w:val="09C75D22"/>
    <w:rsid w:val="09D17598"/>
    <w:rsid w:val="09E1395D"/>
    <w:rsid w:val="09EF2C81"/>
    <w:rsid w:val="09FF350B"/>
    <w:rsid w:val="0A257165"/>
    <w:rsid w:val="0A2D428C"/>
    <w:rsid w:val="0A3D5FB9"/>
    <w:rsid w:val="0A633925"/>
    <w:rsid w:val="0A762EB5"/>
    <w:rsid w:val="0A795C9D"/>
    <w:rsid w:val="0AA97825"/>
    <w:rsid w:val="0B252B11"/>
    <w:rsid w:val="0B396106"/>
    <w:rsid w:val="0B43434C"/>
    <w:rsid w:val="0B5A35FE"/>
    <w:rsid w:val="0B733E79"/>
    <w:rsid w:val="0B842EE9"/>
    <w:rsid w:val="0B934839"/>
    <w:rsid w:val="0BAC7B50"/>
    <w:rsid w:val="0BC71068"/>
    <w:rsid w:val="0BC75FF5"/>
    <w:rsid w:val="0BD3757B"/>
    <w:rsid w:val="0BF17F8E"/>
    <w:rsid w:val="0BFB4095"/>
    <w:rsid w:val="0C0A26EB"/>
    <w:rsid w:val="0C1C1665"/>
    <w:rsid w:val="0C601434"/>
    <w:rsid w:val="0C6C35DB"/>
    <w:rsid w:val="0CA41D08"/>
    <w:rsid w:val="0CAA2D9A"/>
    <w:rsid w:val="0CAB109B"/>
    <w:rsid w:val="0CB105A0"/>
    <w:rsid w:val="0CB536F0"/>
    <w:rsid w:val="0CBE0728"/>
    <w:rsid w:val="0CC30188"/>
    <w:rsid w:val="0CDD4263"/>
    <w:rsid w:val="0D07217A"/>
    <w:rsid w:val="0D073B6D"/>
    <w:rsid w:val="0D076251"/>
    <w:rsid w:val="0D144CAE"/>
    <w:rsid w:val="0D380079"/>
    <w:rsid w:val="0D4478AA"/>
    <w:rsid w:val="0D6354C9"/>
    <w:rsid w:val="0D724ABC"/>
    <w:rsid w:val="0D980952"/>
    <w:rsid w:val="0DB90454"/>
    <w:rsid w:val="0DC66C0D"/>
    <w:rsid w:val="0DE666B6"/>
    <w:rsid w:val="0DF46AD8"/>
    <w:rsid w:val="0DF72EFF"/>
    <w:rsid w:val="0E0C16DD"/>
    <w:rsid w:val="0E10747B"/>
    <w:rsid w:val="0E275043"/>
    <w:rsid w:val="0E3F76AF"/>
    <w:rsid w:val="0E463C46"/>
    <w:rsid w:val="0E671EC4"/>
    <w:rsid w:val="0E9B4FE1"/>
    <w:rsid w:val="0EC60B4A"/>
    <w:rsid w:val="0F005D15"/>
    <w:rsid w:val="0F130F71"/>
    <w:rsid w:val="0F25756E"/>
    <w:rsid w:val="0F286D01"/>
    <w:rsid w:val="0FAB1790"/>
    <w:rsid w:val="0FB467AF"/>
    <w:rsid w:val="0FE9056C"/>
    <w:rsid w:val="10075627"/>
    <w:rsid w:val="103D64AF"/>
    <w:rsid w:val="10426E39"/>
    <w:rsid w:val="10435926"/>
    <w:rsid w:val="104B288E"/>
    <w:rsid w:val="10507D52"/>
    <w:rsid w:val="105B1EE4"/>
    <w:rsid w:val="106A7271"/>
    <w:rsid w:val="106C3C00"/>
    <w:rsid w:val="10766CFD"/>
    <w:rsid w:val="107F2F12"/>
    <w:rsid w:val="108A69DB"/>
    <w:rsid w:val="10AB2303"/>
    <w:rsid w:val="1139487B"/>
    <w:rsid w:val="11424E93"/>
    <w:rsid w:val="116753C5"/>
    <w:rsid w:val="116D2E3F"/>
    <w:rsid w:val="117F77B1"/>
    <w:rsid w:val="11901C33"/>
    <w:rsid w:val="11BC787B"/>
    <w:rsid w:val="11E2096C"/>
    <w:rsid w:val="12096E69"/>
    <w:rsid w:val="12252B99"/>
    <w:rsid w:val="128154D4"/>
    <w:rsid w:val="12822A57"/>
    <w:rsid w:val="12AE364C"/>
    <w:rsid w:val="12B92448"/>
    <w:rsid w:val="12D064CB"/>
    <w:rsid w:val="12E33B2B"/>
    <w:rsid w:val="131E6B91"/>
    <w:rsid w:val="132C559F"/>
    <w:rsid w:val="13586890"/>
    <w:rsid w:val="13E05256"/>
    <w:rsid w:val="13F276A7"/>
    <w:rsid w:val="140D3C2E"/>
    <w:rsid w:val="146A5A93"/>
    <w:rsid w:val="1485166F"/>
    <w:rsid w:val="148D00E5"/>
    <w:rsid w:val="148F6B9D"/>
    <w:rsid w:val="14AB54E9"/>
    <w:rsid w:val="14B77C96"/>
    <w:rsid w:val="14E95D04"/>
    <w:rsid w:val="1537003F"/>
    <w:rsid w:val="155475EF"/>
    <w:rsid w:val="158A5650"/>
    <w:rsid w:val="159B20D4"/>
    <w:rsid w:val="15BC1552"/>
    <w:rsid w:val="15DA4AC4"/>
    <w:rsid w:val="15E04789"/>
    <w:rsid w:val="15F048FA"/>
    <w:rsid w:val="15F85575"/>
    <w:rsid w:val="16127B0E"/>
    <w:rsid w:val="16145398"/>
    <w:rsid w:val="162617E0"/>
    <w:rsid w:val="1670081A"/>
    <w:rsid w:val="1695589E"/>
    <w:rsid w:val="16AD32A6"/>
    <w:rsid w:val="16B7682C"/>
    <w:rsid w:val="16C431B7"/>
    <w:rsid w:val="16E048C2"/>
    <w:rsid w:val="17032DD4"/>
    <w:rsid w:val="172F2BAD"/>
    <w:rsid w:val="17387DA0"/>
    <w:rsid w:val="1746480E"/>
    <w:rsid w:val="174A7556"/>
    <w:rsid w:val="174F6A81"/>
    <w:rsid w:val="177C5C58"/>
    <w:rsid w:val="17A778F9"/>
    <w:rsid w:val="17C176CB"/>
    <w:rsid w:val="17E605D1"/>
    <w:rsid w:val="17FF79B2"/>
    <w:rsid w:val="181C2787"/>
    <w:rsid w:val="1835432A"/>
    <w:rsid w:val="184A5027"/>
    <w:rsid w:val="184B332C"/>
    <w:rsid w:val="185A68E7"/>
    <w:rsid w:val="185D7B49"/>
    <w:rsid w:val="18961E6B"/>
    <w:rsid w:val="18C10B45"/>
    <w:rsid w:val="18F8246C"/>
    <w:rsid w:val="19151728"/>
    <w:rsid w:val="191A2CB2"/>
    <w:rsid w:val="191B0CA5"/>
    <w:rsid w:val="196328BE"/>
    <w:rsid w:val="199D5182"/>
    <w:rsid w:val="19BF0429"/>
    <w:rsid w:val="19C612AA"/>
    <w:rsid w:val="19C70CD1"/>
    <w:rsid w:val="19CC3BE1"/>
    <w:rsid w:val="19ED34CA"/>
    <w:rsid w:val="1A447461"/>
    <w:rsid w:val="1A6E27F4"/>
    <w:rsid w:val="1A836989"/>
    <w:rsid w:val="1AB4230A"/>
    <w:rsid w:val="1AB55F3A"/>
    <w:rsid w:val="1ACB2654"/>
    <w:rsid w:val="1ACD10E9"/>
    <w:rsid w:val="1AEA28E3"/>
    <w:rsid w:val="1B0277E4"/>
    <w:rsid w:val="1B212A45"/>
    <w:rsid w:val="1B2D6175"/>
    <w:rsid w:val="1B621C2D"/>
    <w:rsid w:val="1B816B8C"/>
    <w:rsid w:val="1BAA6BB9"/>
    <w:rsid w:val="1C054270"/>
    <w:rsid w:val="1C3971F9"/>
    <w:rsid w:val="1C4E7311"/>
    <w:rsid w:val="1C4F36C7"/>
    <w:rsid w:val="1C614C65"/>
    <w:rsid w:val="1C871E63"/>
    <w:rsid w:val="1CA7056F"/>
    <w:rsid w:val="1CCF506F"/>
    <w:rsid w:val="1CD8017A"/>
    <w:rsid w:val="1CFD7D06"/>
    <w:rsid w:val="1D016F71"/>
    <w:rsid w:val="1D3B5AA2"/>
    <w:rsid w:val="1D5B7160"/>
    <w:rsid w:val="1DD8674B"/>
    <w:rsid w:val="1DE0396C"/>
    <w:rsid w:val="1DE91141"/>
    <w:rsid w:val="1DFD4812"/>
    <w:rsid w:val="1DFE737E"/>
    <w:rsid w:val="1E155BFE"/>
    <w:rsid w:val="1E1B7938"/>
    <w:rsid w:val="1E283B07"/>
    <w:rsid w:val="1E492991"/>
    <w:rsid w:val="1E52596A"/>
    <w:rsid w:val="1E5E6817"/>
    <w:rsid w:val="1E8A4C75"/>
    <w:rsid w:val="1E8F7043"/>
    <w:rsid w:val="1E921C48"/>
    <w:rsid w:val="1EE0753A"/>
    <w:rsid w:val="1F291C1C"/>
    <w:rsid w:val="1F4745B4"/>
    <w:rsid w:val="1F730511"/>
    <w:rsid w:val="1F8D63B3"/>
    <w:rsid w:val="1F903EB7"/>
    <w:rsid w:val="1F991B5F"/>
    <w:rsid w:val="1FA063DB"/>
    <w:rsid w:val="1FD53DF2"/>
    <w:rsid w:val="1FE07ACE"/>
    <w:rsid w:val="1FE736C1"/>
    <w:rsid w:val="1FEF4FBF"/>
    <w:rsid w:val="200F261C"/>
    <w:rsid w:val="20131443"/>
    <w:rsid w:val="20411893"/>
    <w:rsid w:val="20414CFE"/>
    <w:rsid w:val="20516B20"/>
    <w:rsid w:val="209F69D6"/>
    <w:rsid w:val="20B148C7"/>
    <w:rsid w:val="20BE5D49"/>
    <w:rsid w:val="20C61C8E"/>
    <w:rsid w:val="21C474E4"/>
    <w:rsid w:val="21D96C80"/>
    <w:rsid w:val="22057B22"/>
    <w:rsid w:val="22087254"/>
    <w:rsid w:val="22363D69"/>
    <w:rsid w:val="22744501"/>
    <w:rsid w:val="22832C75"/>
    <w:rsid w:val="22877085"/>
    <w:rsid w:val="228E2880"/>
    <w:rsid w:val="22BE434B"/>
    <w:rsid w:val="23011E7A"/>
    <w:rsid w:val="233C2391"/>
    <w:rsid w:val="23447105"/>
    <w:rsid w:val="235841F9"/>
    <w:rsid w:val="23610BEC"/>
    <w:rsid w:val="236A235B"/>
    <w:rsid w:val="2385414A"/>
    <w:rsid w:val="23B13694"/>
    <w:rsid w:val="23BE1F02"/>
    <w:rsid w:val="23CD3449"/>
    <w:rsid w:val="2411174F"/>
    <w:rsid w:val="2418064B"/>
    <w:rsid w:val="24426EC8"/>
    <w:rsid w:val="244F6A0B"/>
    <w:rsid w:val="248B6FC3"/>
    <w:rsid w:val="24C675BB"/>
    <w:rsid w:val="24CE1088"/>
    <w:rsid w:val="24E8212F"/>
    <w:rsid w:val="24F36E03"/>
    <w:rsid w:val="24F56340"/>
    <w:rsid w:val="25120C8B"/>
    <w:rsid w:val="25575A3E"/>
    <w:rsid w:val="25612B06"/>
    <w:rsid w:val="256541F2"/>
    <w:rsid w:val="25656B09"/>
    <w:rsid w:val="259619D4"/>
    <w:rsid w:val="259F0BB7"/>
    <w:rsid w:val="26390FBD"/>
    <w:rsid w:val="265F5F8C"/>
    <w:rsid w:val="266D0531"/>
    <w:rsid w:val="267D0402"/>
    <w:rsid w:val="26CF24EE"/>
    <w:rsid w:val="26DC5A0E"/>
    <w:rsid w:val="26E500C4"/>
    <w:rsid w:val="26F47772"/>
    <w:rsid w:val="26FA2914"/>
    <w:rsid w:val="27011CC1"/>
    <w:rsid w:val="270E63F4"/>
    <w:rsid w:val="271439AA"/>
    <w:rsid w:val="2750765E"/>
    <w:rsid w:val="275F308D"/>
    <w:rsid w:val="2795635D"/>
    <w:rsid w:val="27B9279B"/>
    <w:rsid w:val="27FE2A63"/>
    <w:rsid w:val="280429A4"/>
    <w:rsid w:val="280F4F3E"/>
    <w:rsid w:val="283F2234"/>
    <w:rsid w:val="28547B2D"/>
    <w:rsid w:val="28572431"/>
    <w:rsid w:val="28837D14"/>
    <w:rsid w:val="28862969"/>
    <w:rsid w:val="2887419E"/>
    <w:rsid w:val="28C23F39"/>
    <w:rsid w:val="28E517DB"/>
    <w:rsid w:val="28F970AD"/>
    <w:rsid w:val="29012629"/>
    <w:rsid w:val="29072017"/>
    <w:rsid w:val="29172925"/>
    <w:rsid w:val="291D5915"/>
    <w:rsid w:val="29230112"/>
    <w:rsid w:val="292D25BE"/>
    <w:rsid w:val="292D5E0D"/>
    <w:rsid w:val="293868D1"/>
    <w:rsid w:val="294F4EFD"/>
    <w:rsid w:val="295B3674"/>
    <w:rsid w:val="295E494E"/>
    <w:rsid w:val="29961923"/>
    <w:rsid w:val="29D633AC"/>
    <w:rsid w:val="29DB2760"/>
    <w:rsid w:val="29DD65C3"/>
    <w:rsid w:val="29F07EEA"/>
    <w:rsid w:val="29F707F0"/>
    <w:rsid w:val="29FD3938"/>
    <w:rsid w:val="2A030641"/>
    <w:rsid w:val="2A154C5D"/>
    <w:rsid w:val="2A183B86"/>
    <w:rsid w:val="2A1A52D3"/>
    <w:rsid w:val="2A487454"/>
    <w:rsid w:val="2A5006C8"/>
    <w:rsid w:val="2A5D3570"/>
    <w:rsid w:val="2A85507C"/>
    <w:rsid w:val="2A8758D2"/>
    <w:rsid w:val="2A887154"/>
    <w:rsid w:val="2A8D32DF"/>
    <w:rsid w:val="2A90661B"/>
    <w:rsid w:val="2A915C33"/>
    <w:rsid w:val="2AA77BD4"/>
    <w:rsid w:val="2ACE26BC"/>
    <w:rsid w:val="2ACE45DE"/>
    <w:rsid w:val="2B0C67D4"/>
    <w:rsid w:val="2B200057"/>
    <w:rsid w:val="2B252633"/>
    <w:rsid w:val="2B362286"/>
    <w:rsid w:val="2B6230E7"/>
    <w:rsid w:val="2B6F6CC7"/>
    <w:rsid w:val="2B8E6334"/>
    <w:rsid w:val="2BAA580E"/>
    <w:rsid w:val="2BB63E47"/>
    <w:rsid w:val="2BDB4D27"/>
    <w:rsid w:val="2BEB6DA8"/>
    <w:rsid w:val="2BED0AB2"/>
    <w:rsid w:val="2BFE4E8F"/>
    <w:rsid w:val="2C077627"/>
    <w:rsid w:val="2C2A1697"/>
    <w:rsid w:val="2C7728B2"/>
    <w:rsid w:val="2C79098C"/>
    <w:rsid w:val="2C943ED0"/>
    <w:rsid w:val="2CA92569"/>
    <w:rsid w:val="2D0F0EC3"/>
    <w:rsid w:val="2D28770B"/>
    <w:rsid w:val="2D2E7947"/>
    <w:rsid w:val="2D2F6EF5"/>
    <w:rsid w:val="2D6C2629"/>
    <w:rsid w:val="2DC62B91"/>
    <w:rsid w:val="2DC63D50"/>
    <w:rsid w:val="2DD72C74"/>
    <w:rsid w:val="2DEC1AF6"/>
    <w:rsid w:val="2DFA5857"/>
    <w:rsid w:val="2E2A754A"/>
    <w:rsid w:val="2E3708EA"/>
    <w:rsid w:val="2E4A7804"/>
    <w:rsid w:val="2E4C41D8"/>
    <w:rsid w:val="2E516606"/>
    <w:rsid w:val="2EA5283F"/>
    <w:rsid w:val="2F291F9A"/>
    <w:rsid w:val="2F4620DF"/>
    <w:rsid w:val="2F4E5138"/>
    <w:rsid w:val="2F6A7947"/>
    <w:rsid w:val="2FAB365A"/>
    <w:rsid w:val="2FBF45BC"/>
    <w:rsid w:val="2FC60504"/>
    <w:rsid w:val="2FC87168"/>
    <w:rsid w:val="2FD40550"/>
    <w:rsid w:val="2FD73861"/>
    <w:rsid w:val="300229D3"/>
    <w:rsid w:val="30111406"/>
    <w:rsid w:val="3046383F"/>
    <w:rsid w:val="304C1201"/>
    <w:rsid w:val="3059348E"/>
    <w:rsid w:val="30646F40"/>
    <w:rsid w:val="30657D2B"/>
    <w:rsid w:val="306A2740"/>
    <w:rsid w:val="309C20FE"/>
    <w:rsid w:val="30B97F5B"/>
    <w:rsid w:val="30D25F9E"/>
    <w:rsid w:val="30E85AF0"/>
    <w:rsid w:val="30F07915"/>
    <w:rsid w:val="31004CC6"/>
    <w:rsid w:val="31272D03"/>
    <w:rsid w:val="315F3848"/>
    <w:rsid w:val="31675735"/>
    <w:rsid w:val="317869DF"/>
    <w:rsid w:val="317B746D"/>
    <w:rsid w:val="317D40D0"/>
    <w:rsid w:val="31840F44"/>
    <w:rsid w:val="31B408D5"/>
    <w:rsid w:val="31CE5865"/>
    <w:rsid w:val="31D060A3"/>
    <w:rsid w:val="31D30FF2"/>
    <w:rsid w:val="31E61BC8"/>
    <w:rsid w:val="31E83D40"/>
    <w:rsid w:val="31EC6A16"/>
    <w:rsid w:val="32182CE3"/>
    <w:rsid w:val="32422491"/>
    <w:rsid w:val="3248781B"/>
    <w:rsid w:val="3249779C"/>
    <w:rsid w:val="324B4707"/>
    <w:rsid w:val="3253137F"/>
    <w:rsid w:val="325828D6"/>
    <w:rsid w:val="325B7E1D"/>
    <w:rsid w:val="328E5608"/>
    <w:rsid w:val="32970C19"/>
    <w:rsid w:val="329E04D5"/>
    <w:rsid w:val="32BA56C8"/>
    <w:rsid w:val="32BD0AB4"/>
    <w:rsid w:val="32D81880"/>
    <w:rsid w:val="333A3836"/>
    <w:rsid w:val="333D1E0A"/>
    <w:rsid w:val="3366022F"/>
    <w:rsid w:val="3384723C"/>
    <w:rsid w:val="338E126B"/>
    <w:rsid w:val="33987E45"/>
    <w:rsid w:val="339A1BFE"/>
    <w:rsid w:val="33CD59BB"/>
    <w:rsid w:val="33DE0B51"/>
    <w:rsid w:val="33F27038"/>
    <w:rsid w:val="33F77BFA"/>
    <w:rsid w:val="33FD13CE"/>
    <w:rsid w:val="34044208"/>
    <w:rsid w:val="340E30C9"/>
    <w:rsid w:val="3421390F"/>
    <w:rsid w:val="3433665E"/>
    <w:rsid w:val="344D795C"/>
    <w:rsid w:val="345D3F48"/>
    <w:rsid w:val="34641997"/>
    <w:rsid w:val="34B2711A"/>
    <w:rsid w:val="34BF4B77"/>
    <w:rsid w:val="34CD3288"/>
    <w:rsid w:val="35106172"/>
    <w:rsid w:val="351C7ADE"/>
    <w:rsid w:val="351E244C"/>
    <w:rsid w:val="35244028"/>
    <w:rsid w:val="3547193E"/>
    <w:rsid w:val="35570DE6"/>
    <w:rsid w:val="35585D0B"/>
    <w:rsid w:val="35894566"/>
    <w:rsid w:val="35D074E8"/>
    <w:rsid w:val="361124C2"/>
    <w:rsid w:val="3614099D"/>
    <w:rsid w:val="36176CF8"/>
    <w:rsid w:val="361D4374"/>
    <w:rsid w:val="3620145D"/>
    <w:rsid w:val="36431A5E"/>
    <w:rsid w:val="365339C7"/>
    <w:rsid w:val="365E60D0"/>
    <w:rsid w:val="366525D5"/>
    <w:rsid w:val="367D59FD"/>
    <w:rsid w:val="36947E59"/>
    <w:rsid w:val="36B06CBB"/>
    <w:rsid w:val="36B53936"/>
    <w:rsid w:val="36CE6CD1"/>
    <w:rsid w:val="36D9719F"/>
    <w:rsid w:val="36E74E6B"/>
    <w:rsid w:val="36ED3623"/>
    <w:rsid w:val="372C784B"/>
    <w:rsid w:val="372D0C85"/>
    <w:rsid w:val="3732529A"/>
    <w:rsid w:val="3775670A"/>
    <w:rsid w:val="37B24F13"/>
    <w:rsid w:val="37C10556"/>
    <w:rsid w:val="37C25077"/>
    <w:rsid w:val="37EE7FCC"/>
    <w:rsid w:val="37FF74DE"/>
    <w:rsid w:val="38256750"/>
    <w:rsid w:val="386E7E6E"/>
    <w:rsid w:val="38C84766"/>
    <w:rsid w:val="38CA6257"/>
    <w:rsid w:val="38D56F50"/>
    <w:rsid w:val="38E44891"/>
    <w:rsid w:val="38F7591C"/>
    <w:rsid w:val="38FC105F"/>
    <w:rsid w:val="38FF0D5A"/>
    <w:rsid w:val="390E0579"/>
    <w:rsid w:val="39362FF2"/>
    <w:rsid w:val="397D2200"/>
    <w:rsid w:val="399171E5"/>
    <w:rsid w:val="39A556B3"/>
    <w:rsid w:val="39B37206"/>
    <w:rsid w:val="39DA4AC1"/>
    <w:rsid w:val="39DAE0A4"/>
    <w:rsid w:val="39E43976"/>
    <w:rsid w:val="3A3F071D"/>
    <w:rsid w:val="3A6C50E3"/>
    <w:rsid w:val="3A704B4E"/>
    <w:rsid w:val="3A7910E3"/>
    <w:rsid w:val="3A8815B8"/>
    <w:rsid w:val="3AA155B0"/>
    <w:rsid w:val="3AE32DF6"/>
    <w:rsid w:val="3AE7741A"/>
    <w:rsid w:val="3AEA7855"/>
    <w:rsid w:val="3AF10EDB"/>
    <w:rsid w:val="3B005B04"/>
    <w:rsid w:val="3B046A0B"/>
    <w:rsid w:val="3B0757F5"/>
    <w:rsid w:val="3B0E79C9"/>
    <w:rsid w:val="3B1C669D"/>
    <w:rsid w:val="3B5136DD"/>
    <w:rsid w:val="3BDC1D54"/>
    <w:rsid w:val="3BED1AC9"/>
    <w:rsid w:val="3C2C05EE"/>
    <w:rsid w:val="3C5F3FCC"/>
    <w:rsid w:val="3C833986"/>
    <w:rsid w:val="3C875ECB"/>
    <w:rsid w:val="3CAF12EF"/>
    <w:rsid w:val="3CCC1ACA"/>
    <w:rsid w:val="3CD72FC6"/>
    <w:rsid w:val="3D28379E"/>
    <w:rsid w:val="3D3163C1"/>
    <w:rsid w:val="3D33215A"/>
    <w:rsid w:val="3D446513"/>
    <w:rsid w:val="3D543DB2"/>
    <w:rsid w:val="3D5578C0"/>
    <w:rsid w:val="3D965885"/>
    <w:rsid w:val="3DC85A46"/>
    <w:rsid w:val="3DF943A9"/>
    <w:rsid w:val="3E4B29BF"/>
    <w:rsid w:val="3E4F75F5"/>
    <w:rsid w:val="3E5E01FC"/>
    <w:rsid w:val="3E643CB3"/>
    <w:rsid w:val="3E8A3FA7"/>
    <w:rsid w:val="3EC257A6"/>
    <w:rsid w:val="3ED03D19"/>
    <w:rsid w:val="3EDC210D"/>
    <w:rsid w:val="3EDC3CA7"/>
    <w:rsid w:val="3EDD1E3F"/>
    <w:rsid w:val="3EF92FD4"/>
    <w:rsid w:val="3EFE02A4"/>
    <w:rsid w:val="3F0566F8"/>
    <w:rsid w:val="3F382CDA"/>
    <w:rsid w:val="3F3B49EE"/>
    <w:rsid w:val="3F66375C"/>
    <w:rsid w:val="3F82181F"/>
    <w:rsid w:val="3FA41665"/>
    <w:rsid w:val="3FC304C9"/>
    <w:rsid w:val="3FF10404"/>
    <w:rsid w:val="40200E6C"/>
    <w:rsid w:val="403E612B"/>
    <w:rsid w:val="404B7A4D"/>
    <w:rsid w:val="40662A81"/>
    <w:rsid w:val="407C045D"/>
    <w:rsid w:val="409B4D60"/>
    <w:rsid w:val="40A63F09"/>
    <w:rsid w:val="40B725B2"/>
    <w:rsid w:val="40D1430F"/>
    <w:rsid w:val="40D76F63"/>
    <w:rsid w:val="40E7175E"/>
    <w:rsid w:val="41165086"/>
    <w:rsid w:val="411A6CE7"/>
    <w:rsid w:val="41530DF5"/>
    <w:rsid w:val="4193237B"/>
    <w:rsid w:val="41940B5C"/>
    <w:rsid w:val="41B6613F"/>
    <w:rsid w:val="41D36EF1"/>
    <w:rsid w:val="41EA440B"/>
    <w:rsid w:val="41EF23F7"/>
    <w:rsid w:val="421B7F10"/>
    <w:rsid w:val="421E1C40"/>
    <w:rsid w:val="423E7FDC"/>
    <w:rsid w:val="42576662"/>
    <w:rsid w:val="4282077E"/>
    <w:rsid w:val="42A03AE5"/>
    <w:rsid w:val="42B02D76"/>
    <w:rsid w:val="42E57831"/>
    <w:rsid w:val="42E927B5"/>
    <w:rsid w:val="42EE7D40"/>
    <w:rsid w:val="43063AF3"/>
    <w:rsid w:val="430A361C"/>
    <w:rsid w:val="431B500F"/>
    <w:rsid w:val="433E126C"/>
    <w:rsid w:val="434A5F44"/>
    <w:rsid w:val="43623DE1"/>
    <w:rsid w:val="43632B59"/>
    <w:rsid w:val="43687F68"/>
    <w:rsid w:val="43925879"/>
    <w:rsid w:val="439C086B"/>
    <w:rsid w:val="43B27145"/>
    <w:rsid w:val="43FE44B3"/>
    <w:rsid w:val="4417046A"/>
    <w:rsid w:val="441730DD"/>
    <w:rsid w:val="441C2395"/>
    <w:rsid w:val="442265A8"/>
    <w:rsid w:val="44270474"/>
    <w:rsid w:val="442B6639"/>
    <w:rsid w:val="44820E94"/>
    <w:rsid w:val="44962C16"/>
    <w:rsid w:val="449B3117"/>
    <w:rsid w:val="44A97AF8"/>
    <w:rsid w:val="45100E04"/>
    <w:rsid w:val="45154C4C"/>
    <w:rsid w:val="453222B1"/>
    <w:rsid w:val="4545079B"/>
    <w:rsid w:val="45833D26"/>
    <w:rsid w:val="45917B1C"/>
    <w:rsid w:val="45C824F3"/>
    <w:rsid w:val="45E52D48"/>
    <w:rsid w:val="45F95A6D"/>
    <w:rsid w:val="46007EA9"/>
    <w:rsid w:val="46297A32"/>
    <w:rsid w:val="465863A0"/>
    <w:rsid w:val="468B1E4F"/>
    <w:rsid w:val="46ED0AAD"/>
    <w:rsid w:val="47057D88"/>
    <w:rsid w:val="472046C2"/>
    <w:rsid w:val="473B08F1"/>
    <w:rsid w:val="473B5579"/>
    <w:rsid w:val="47475B79"/>
    <w:rsid w:val="475D2DD4"/>
    <w:rsid w:val="476705FF"/>
    <w:rsid w:val="47743FE2"/>
    <w:rsid w:val="47777944"/>
    <w:rsid w:val="47970605"/>
    <w:rsid w:val="47981017"/>
    <w:rsid w:val="479F7B5B"/>
    <w:rsid w:val="47A148AC"/>
    <w:rsid w:val="47A66D6D"/>
    <w:rsid w:val="47E95649"/>
    <w:rsid w:val="48050CFC"/>
    <w:rsid w:val="480D72AF"/>
    <w:rsid w:val="48220611"/>
    <w:rsid w:val="482E20D2"/>
    <w:rsid w:val="48907DDF"/>
    <w:rsid w:val="48A72F60"/>
    <w:rsid w:val="48E42C03"/>
    <w:rsid w:val="49096302"/>
    <w:rsid w:val="49315057"/>
    <w:rsid w:val="49365913"/>
    <w:rsid w:val="493911E9"/>
    <w:rsid w:val="49582513"/>
    <w:rsid w:val="495C2AF3"/>
    <w:rsid w:val="495F5691"/>
    <w:rsid w:val="49716F32"/>
    <w:rsid w:val="49924970"/>
    <w:rsid w:val="49A01991"/>
    <w:rsid w:val="49C36A23"/>
    <w:rsid w:val="4A08019A"/>
    <w:rsid w:val="4A2E6CF5"/>
    <w:rsid w:val="4A62113F"/>
    <w:rsid w:val="4A684851"/>
    <w:rsid w:val="4A6C4A52"/>
    <w:rsid w:val="4A813027"/>
    <w:rsid w:val="4A8B5F13"/>
    <w:rsid w:val="4AB97BE3"/>
    <w:rsid w:val="4AC65A2E"/>
    <w:rsid w:val="4AD13B82"/>
    <w:rsid w:val="4AE502FF"/>
    <w:rsid w:val="4AEE13B5"/>
    <w:rsid w:val="4AFD372A"/>
    <w:rsid w:val="4B093663"/>
    <w:rsid w:val="4B366DE0"/>
    <w:rsid w:val="4B3E1541"/>
    <w:rsid w:val="4B533B86"/>
    <w:rsid w:val="4B634A65"/>
    <w:rsid w:val="4BA41F59"/>
    <w:rsid w:val="4BAC4EF1"/>
    <w:rsid w:val="4BB75B42"/>
    <w:rsid w:val="4BCA2F7D"/>
    <w:rsid w:val="4BE36D9D"/>
    <w:rsid w:val="4BE8453F"/>
    <w:rsid w:val="4BFA61E0"/>
    <w:rsid w:val="4BFC4F41"/>
    <w:rsid w:val="4C117CAB"/>
    <w:rsid w:val="4C2409D8"/>
    <w:rsid w:val="4C523BB0"/>
    <w:rsid w:val="4C5440C1"/>
    <w:rsid w:val="4C956329"/>
    <w:rsid w:val="4CA65780"/>
    <w:rsid w:val="4CA858AC"/>
    <w:rsid w:val="4CE906B0"/>
    <w:rsid w:val="4D2171EA"/>
    <w:rsid w:val="4D346CA7"/>
    <w:rsid w:val="4D4C283C"/>
    <w:rsid w:val="4D6011B6"/>
    <w:rsid w:val="4D905916"/>
    <w:rsid w:val="4D9127DD"/>
    <w:rsid w:val="4DA55BB7"/>
    <w:rsid w:val="4DAE58DD"/>
    <w:rsid w:val="4DD907BE"/>
    <w:rsid w:val="4DE950AD"/>
    <w:rsid w:val="4E0036E4"/>
    <w:rsid w:val="4E09614C"/>
    <w:rsid w:val="4E33471A"/>
    <w:rsid w:val="4E463F45"/>
    <w:rsid w:val="4E4D4A0D"/>
    <w:rsid w:val="4E5D38D0"/>
    <w:rsid w:val="4E9E0685"/>
    <w:rsid w:val="4E9F7546"/>
    <w:rsid w:val="4EAB5311"/>
    <w:rsid w:val="4EBE7B14"/>
    <w:rsid w:val="4ECE7D9A"/>
    <w:rsid w:val="4ED42145"/>
    <w:rsid w:val="4ED634C6"/>
    <w:rsid w:val="4ED85B8F"/>
    <w:rsid w:val="4F5031EF"/>
    <w:rsid w:val="4F683CD1"/>
    <w:rsid w:val="4F926808"/>
    <w:rsid w:val="4FBB7E8A"/>
    <w:rsid w:val="4FC176D4"/>
    <w:rsid w:val="4FD54866"/>
    <w:rsid w:val="4FEA34AB"/>
    <w:rsid w:val="4FF70239"/>
    <w:rsid w:val="4FF76C1A"/>
    <w:rsid w:val="4FFB536B"/>
    <w:rsid w:val="5036127E"/>
    <w:rsid w:val="50402B7D"/>
    <w:rsid w:val="504363D0"/>
    <w:rsid w:val="50636902"/>
    <w:rsid w:val="50664B66"/>
    <w:rsid w:val="507047DD"/>
    <w:rsid w:val="5073643B"/>
    <w:rsid w:val="50C41853"/>
    <w:rsid w:val="50ED4233"/>
    <w:rsid w:val="50F8705E"/>
    <w:rsid w:val="51470BD7"/>
    <w:rsid w:val="516F6EDC"/>
    <w:rsid w:val="5186673B"/>
    <w:rsid w:val="519A1F93"/>
    <w:rsid w:val="51A03243"/>
    <w:rsid w:val="51E963A6"/>
    <w:rsid w:val="520311F8"/>
    <w:rsid w:val="521442AF"/>
    <w:rsid w:val="52145AC5"/>
    <w:rsid w:val="523D33C4"/>
    <w:rsid w:val="52527F2E"/>
    <w:rsid w:val="52782224"/>
    <w:rsid w:val="527F238B"/>
    <w:rsid w:val="52856649"/>
    <w:rsid w:val="529744DF"/>
    <w:rsid w:val="52A909DE"/>
    <w:rsid w:val="52BA42CC"/>
    <w:rsid w:val="52D4671C"/>
    <w:rsid w:val="52DA0EFB"/>
    <w:rsid w:val="52FC6492"/>
    <w:rsid w:val="53074F32"/>
    <w:rsid w:val="53201B9B"/>
    <w:rsid w:val="53235B7F"/>
    <w:rsid w:val="5326125A"/>
    <w:rsid w:val="53316394"/>
    <w:rsid w:val="53322223"/>
    <w:rsid w:val="533A16AF"/>
    <w:rsid w:val="53455C70"/>
    <w:rsid w:val="5358150A"/>
    <w:rsid w:val="5361AB5A"/>
    <w:rsid w:val="539A2CB4"/>
    <w:rsid w:val="53AF08B7"/>
    <w:rsid w:val="53C80448"/>
    <w:rsid w:val="53C8662E"/>
    <w:rsid w:val="53D2720D"/>
    <w:rsid w:val="53D6779A"/>
    <w:rsid w:val="53D80E50"/>
    <w:rsid w:val="53E204DF"/>
    <w:rsid w:val="542325B5"/>
    <w:rsid w:val="543E6329"/>
    <w:rsid w:val="54445AEC"/>
    <w:rsid w:val="54663526"/>
    <w:rsid w:val="54791988"/>
    <w:rsid w:val="5482138D"/>
    <w:rsid w:val="548420BA"/>
    <w:rsid w:val="54884E12"/>
    <w:rsid w:val="548D34EE"/>
    <w:rsid w:val="54955712"/>
    <w:rsid w:val="54A237E0"/>
    <w:rsid w:val="54A7661A"/>
    <w:rsid w:val="54C74CF2"/>
    <w:rsid w:val="54C9764A"/>
    <w:rsid w:val="54CF348C"/>
    <w:rsid w:val="54F819BA"/>
    <w:rsid w:val="550033F3"/>
    <w:rsid w:val="551F0BAC"/>
    <w:rsid w:val="55202002"/>
    <w:rsid w:val="554C3676"/>
    <w:rsid w:val="55817791"/>
    <w:rsid w:val="558A421B"/>
    <w:rsid w:val="55A160F5"/>
    <w:rsid w:val="55BE3503"/>
    <w:rsid w:val="55CC25CE"/>
    <w:rsid w:val="55ED1C99"/>
    <w:rsid w:val="55FC1BDE"/>
    <w:rsid w:val="56422644"/>
    <w:rsid w:val="564A158C"/>
    <w:rsid w:val="565210D0"/>
    <w:rsid w:val="56523D51"/>
    <w:rsid w:val="56595600"/>
    <w:rsid w:val="56773218"/>
    <w:rsid w:val="56996B78"/>
    <w:rsid w:val="569D4E1B"/>
    <w:rsid w:val="56B11410"/>
    <w:rsid w:val="56BC5A12"/>
    <w:rsid w:val="56BF1E93"/>
    <w:rsid w:val="56F277F2"/>
    <w:rsid w:val="570B6BAD"/>
    <w:rsid w:val="574C449C"/>
    <w:rsid w:val="57A91FEF"/>
    <w:rsid w:val="57B12150"/>
    <w:rsid w:val="57C25C33"/>
    <w:rsid w:val="57F33A57"/>
    <w:rsid w:val="581D28F5"/>
    <w:rsid w:val="582377DF"/>
    <w:rsid w:val="5826074C"/>
    <w:rsid w:val="583E7EB0"/>
    <w:rsid w:val="583F5DA4"/>
    <w:rsid w:val="5866028D"/>
    <w:rsid w:val="58894CEE"/>
    <w:rsid w:val="58906900"/>
    <w:rsid w:val="58993F9B"/>
    <w:rsid w:val="58D31603"/>
    <w:rsid w:val="58D652A2"/>
    <w:rsid w:val="58DA4F29"/>
    <w:rsid w:val="58DD4A86"/>
    <w:rsid w:val="58F70C30"/>
    <w:rsid w:val="5908379A"/>
    <w:rsid w:val="591367F3"/>
    <w:rsid w:val="592F3CAE"/>
    <w:rsid w:val="594D5D59"/>
    <w:rsid w:val="5953646D"/>
    <w:rsid w:val="596238E4"/>
    <w:rsid w:val="5963465A"/>
    <w:rsid w:val="596A2004"/>
    <w:rsid w:val="59793E38"/>
    <w:rsid w:val="597F20BE"/>
    <w:rsid w:val="598D4393"/>
    <w:rsid w:val="59D4423E"/>
    <w:rsid w:val="59D45CD0"/>
    <w:rsid w:val="59F47242"/>
    <w:rsid w:val="59F73B60"/>
    <w:rsid w:val="5A067C60"/>
    <w:rsid w:val="5A122A23"/>
    <w:rsid w:val="5A126255"/>
    <w:rsid w:val="5A1F6800"/>
    <w:rsid w:val="5A2A20FE"/>
    <w:rsid w:val="5A3325A7"/>
    <w:rsid w:val="5A545D91"/>
    <w:rsid w:val="5A747C62"/>
    <w:rsid w:val="5A8C299A"/>
    <w:rsid w:val="5A9E7102"/>
    <w:rsid w:val="5A9F4750"/>
    <w:rsid w:val="5AA4536A"/>
    <w:rsid w:val="5AB51111"/>
    <w:rsid w:val="5AD75CFB"/>
    <w:rsid w:val="5AD8755E"/>
    <w:rsid w:val="5B0B5899"/>
    <w:rsid w:val="5B12639A"/>
    <w:rsid w:val="5B294B27"/>
    <w:rsid w:val="5B53336F"/>
    <w:rsid w:val="5B550D59"/>
    <w:rsid w:val="5B8B34A1"/>
    <w:rsid w:val="5BEB363D"/>
    <w:rsid w:val="5BF776EC"/>
    <w:rsid w:val="5BF851E8"/>
    <w:rsid w:val="5C227AEC"/>
    <w:rsid w:val="5C24378B"/>
    <w:rsid w:val="5C331468"/>
    <w:rsid w:val="5C480CB4"/>
    <w:rsid w:val="5C54551E"/>
    <w:rsid w:val="5C564F7F"/>
    <w:rsid w:val="5C6E2DBD"/>
    <w:rsid w:val="5CCE2DBD"/>
    <w:rsid w:val="5CF37EB1"/>
    <w:rsid w:val="5D32703A"/>
    <w:rsid w:val="5D3448FA"/>
    <w:rsid w:val="5DA7799B"/>
    <w:rsid w:val="5DBB58C1"/>
    <w:rsid w:val="5DC83ECD"/>
    <w:rsid w:val="5DE917F0"/>
    <w:rsid w:val="5E0F61A3"/>
    <w:rsid w:val="5E6031B5"/>
    <w:rsid w:val="5E803EB6"/>
    <w:rsid w:val="5EA709E4"/>
    <w:rsid w:val="5EAD1247"/>
    <w:rsid w:val="5EB2692D"/>
    <w:rsid w:val="5EB532A3"/>
    <w:rsid w:val="5EFE0E3D"/>
    <w:rsid w:val="5F09407A"/>
    <w:rsid w:val="5F137AEF"/>
    <w:rsid w:val="5F2F0AFF"/>
    <w:rsid w:val="5F3870A2"/>
    <w:rsid w:val="5F4438FC"/>
    <w:rsid w:val="5F446A33"/>
    <w:rsid w:val="5F52595E"/>
    <w:rsid w:val="5F591F7B"/>
    <w:rsid w:val="5F644328"/>
    <w:rsid w:val="5F771F52"/>
    <w:rsid w:val="5F791DBD"/>
    <w:rsid w:val="5F9E4EF6"/>
    <w:rsid w:val="5FA56A43"/>
    <w:rsid w:val="5FD67BEB"/>
    <w:rsid w:val="5FD8280A"/>
    <w:rsid w:val="5FE0230F"/>
    <w:rsid w:val="600259B2"/>
    <w:rsid w:val="60746D42"/>
    <w:rsid w:val="608E120F"/>
    <w:rsid w:val="60A80466"/>
    <w:rsid w:val="60C025AE"/>
    <w:rsid w:val="60F96260"/>
    <w:rsid w:val="60FB30BB"/>
    <w:rsid w:val="611452CA"/>
    <w:rsid w:val="6129305D"/>
    <w:rsid w:val="61521506"/>
    <w:rsid w:val="61530CB3"/>
    <w:rsid w:val="615D305F"/>
    <w:rsid w:val="61600618"/>
    <w:rsid w:val="61623349"/>
    <w:rsid w:val="617973F9"/>
    <w:rsid w:val="61C1281E"/>
    <w:rsid w:val="61D803CB"/>
    <w:rsid w:val="61E074DB"/>
    <w:rsid w:val="61F23CC8"/>
    <w:rsid w:val="622E66DB"/>
    <w:rsid w:val="62345F9F"/>
    <w:rsid w:val="623C5C91"/>
    <w:rsid w:val="62490387"/>
    <w:rsid w:val="62664463"/>
    <w:rsid w:val="62702B50"/>
    <w:rsid w:val="6286787F"/>
    <w:rsid w:val="62C7384E"/>
    <w:rsid w:val="63096071"/>
    <w:rsid w:val="63226942"/>
    <w:rsid w:val="636A323A"/>
    <w:rsid w:val="636F2616"/>
    <w:rsid w:val="63763721"/>
    <w:rsid w:val="63805798"/>
    <w:rsid w:val="63912DDA"/>
    <w:rsid w:val="63A813F2"/>
    <w:rsid w:val="63AD354B"/>
    <w:rsid w:val="63B932F6"/>
    <w:rsid w:val="63B957E3"/>
    <w:rsid w:val="63BB2677"/>
    <w:rsid w:val="63BB4A81"/>
    <w:rsid w:val="63D46790"/>
    <w:rsid w:val="63DE6B89"/>
    <w:rsid w:val="63DF01C5"/>
    <w:rsid w:val="640C7AC3"/>
    <w:rsid w:val="640E00FA"/>
    <w:rsid w:val="640F071B"/>
    <w:rsid w:val="6416060B"/>
    <w:rsid w:val="6417346D"/>
    <w:rsid w:val="6419430C"/>
    <w:rsid w:val="6440678E"/>
    <w:rsid w:val="64435E1C"/>
    <w:rsid w:val="64460E57"/>
    <w:rsid w:val="645C628B"/>
    <w:rsid w:val="64876ED9"/>
    <w:rsid w:val="6494081B"/>
    <w:rsid w:val="649E3FF2"/>
    <w:rsid w:val="64B53DCE"/>
    <w:rsid w:val="64BD7208"/>
    <w:rsid w:val="64D07B31"/>
    <w:rsid w:val="64E54344"/>
    <w:rsid w:val="64EF6ED1"/>
    <w:rsid w:val="64F63304"/>
    <w:rsid w:val="64FB1E3F"/>
    <w:rsid w:val="64FD490B"/>
    <w:rsid w:val="65075C28"/>
    <w:rsid w:val="65186695"/>
    <w:rsid w:val="652F4554"/>
    <w:rsid w:val="654B4580"/>
    <w:rsid w:val="654F615A"/>
    <w:rsid w:val="65520D58"/>
    <w:rsid w:val="65714E04"/>
    <w:rsid w:val="65983EAF"/>
    <w:rsid w:val="65A21B47"/>
    <w:rsid w:val="65BD6B24"/>
    <w:rsid w:val="65F540F3"/>
    <w:rsid w:val="66234D87"/>
    <w:rsid w:val="6630775C"/>
    <w:rsid w:val="66364BDB"/>
    <w:rsid w:val="663D54BA"/>
    <w:rsid w:val="666538CC"/>
    <w:rsid w:val="666C5C05"/>
    <w:rsid w:val="66895896"/>
    <w:rsid w:val="66926400"/>
    <w:rsid w:val="66AE532A"/>
    <w:rsid w:val="66E13C20"/>
    <w:rsid w:val="66F31603"/>
    <w:rsid w:val="67220973"/>
    <w:rsid w:val="67573A95"/>
    <w:rsid w:val="67B2687E"/>
    <w:rsid w:val="67EE4AD2"/>
    <w:rsid w:val="67F37EAD"/>
    <w:rsid w:val="68143E19"/>
    <w:rsid w:val="68375539"/>
    <w:rsid w:val="68422099"/>
    <w:rsid w:val="685415D7"/>
    <w:rsid w:val="686E7654"/>
    <w:rsid w:val="687242E6"/>
    <w:rsid w:val="687B58B9"/>
    <w:rsid w:val="687C0316"/>
    <w:rsid w:val="688433AA"/>
    <w:rsid w:val="689066E1"/>
    <w:rsid w:val="68A9590B"/>
    <w:rsid w:val="68DE5B1E"/>
    <w:rsid w:val="68E43F88"/>
    <w:rsid w:val="68FC7D4D"/>
    <w:rsid w:val="691A7685"/>
    <w:rsid w:val="69272544"/>
    <w:rsid w:val="69AD2033"/>
    <w:rsid w:val="69B52DDD"/>
    <w:rsid w:val="69F11033"/>
    <w:rsid w:val="6A050E1A"/>
    <w:rsid w:val="6A203B41"/>
    <w:rsid w:val="6A2C77D5"/>
    <w:rsid w:val="6A4D6E4F"/>
    <w:rsid w:val="6A770611"/>
    <w:rsid w:val="6A7D13A2"/>
    <w:rsid w:val="6A92237D"/>
    <w:rsid w:val="6AA9750C"/>
    <w:rsid w:val="6B2475D3"/>
    <w:rsid w:val="6B3C67E6"/>
    <w:rsid w:val="6B3F659A"/>
    <w:rsid w:val="6B445AB8"/>
    <w:rsid w:val="6B451344"/>
    <w:rsid w:val="6B45611A"/>
    <w:rsid w:val="6B4A58B7"/>
    <w:rsid w:val="6B504E54"/>
    <w:rsid w:val="6B5419FD"/>
    <w:rsid w:val="6B671BED"/>
    <w:rsid w:val="6B7502EE"/>
    <w:rsid w:val="6BB73A18"/>
    <w:rsid w:val="6BBE489F"/>
    <w:rsid w:val="6BC82BC6"/>
    <w:rsid w:val="6BCD302D"/>
    <w:rsid w:val="6BEF07F1"/>
    <w:rsid w:val="6C123386"/>
    <w:rsid w:val="6C2636E9"/>
    <w:rsid w:val="6C511602"/>
    <w:rsid w:val="6C520652"/>
    <w:rsid w:val="6C575035"/>
    <w:rsid w:val="6C745F48"/>
    <w:rsid w:val="6C791F29"/>
    <w:rsid w:val="6C8C6A78"/>
    <w:rsid w:val="6C916327"/>
    <w:rsid w:val="6CC75D01"/>
    <w:rsid w:val="6CCD0B22"/>
    <w:rsid w:val="6CD4143D"/>
    <w:rsid w:val="6CD826C2"/>
    <w:rsid w:val="6CEB57A5"/>
    <w:rsid w:val="6D0B12D1"/>
    <w:rsid w:val="6D451E70"/>
    <w:rsid w:val="6D4B091D"/>
    <w:rsid w:val="6D816108"/>
    <w:rsid w:val="6D8617D4"/>
    <w:rsid w:val="6D8B53FA"/>
    <w:rsid w:val="6D906634"/>
    <w:rsid w:val="6D9347DD"/>
    <w:rsid w:val="6DC43F0E"/>
    <w:rsid w:val="6DF07C0E"/>
    <w:rsid w:val="6DF22BFE"/>
    <w:rsid w:val="6E09220B"/>
    <w:rsid w:val="6E0D7E1B"/>
    <w:rsid w:val="6E290AA6"/>
    <w:rsid w:val="6E2F10FE"/>
    <w:rsid w:val="6E54073D"/>
    <w:rsid w:val="6E625F95"/>
    <w:rsid w:val="6EB45044"/>
    <w:rsid w:val="6EC23E45"/>
    <w:rsid w:val="6ED265C5"/>
    <w:rsid w:val="6EEE7977"/>
    <w:rsid w:val="6F3878F2"/>
    <w:rsid w:val="6F5E6B5C"/>
    <w:rsid w:val="6F8B29A5"/>
    <w:rsid w:val="6F8B488D"/>
    <w:rsid w:val="6F98315D"/>
    <w:rsid w:val="6FBB368E"/>
    <w:rsid w:val="6FE5399F"/>
    <w:rsid w:val="701B422A"/>
    <w:rsid w:val="70242236"/>
    <w:rsid w:val="703D3BE3"/>
    <w:rsid w:val="70752A53"/>
    <w:rsid w:val="707776A9"/>
    <w:rsid w:val="707C6E96"/>
    <w:rsid w:val="70A31F33"/>
    <w:rsid w:val="70B02331"/>
    <w:rsid w:val="70B02499"/>
    <w:rsid w:val="70BA0314"/>
    <w:rsid w:val="70E215FF"/>
    <w:rsid w:val="70E511C0"/>
    <w:rsid w:val="70EB0505"/>
    <w:rsid w:val="70F23747"/>
    <w:rsid w:val="711324F1"/>
    <w:rsid w:val="713B5B88"/>
    <w:rsid w:val="71405F4C"/>
    <w:rsid w:val="71433971"/>
    <w:rsid w:val="7149071C"/>
    <w:rsid w:val="71716E5F"/>
    <w:rsid w:val="71944F96"/>
    <w:rsid w:val="71AA702C"/>
    <w:rsid w:val="71B103A2"/>
    <w:rsid w:val="71C36B61"/>
    <w:rsid w:val="71E07D25"/>
    <w:rsid w:val="720D3B5E"/>
    <w:rsid w:val="72327A05"/>
    <w:rsid w:val="724B36C9"/>
    <w:rsid w:val="726C46C3"/>
    <w:rsid w:val="726F0DFF"/>
    <w:rsid w:val="72766008"/>
    <w:rsid w:val="729B7708"/>
    <w:rsid w:val="72B40800"/>
    <w:rsid w:val="72BD4825"/>
    <w:rsid w:val="72D31DAB"/>
    <w:rsid w:val="72D646CB"/>
    <w:rsid w:val="72EA0C26"/>
    <w:rsid w:val="72EB6ED1"/>
    <w:rsid w:val="72ED0CAF"/>
    <w:rsid w:val="7309297E"/>
    <w:rsid w:val="73112446"/>
    <w:rsid w:val="731D0D8D"/>
    <w:rsid w:val="7325333B"/>
    <w:rsid w:val="73334C2D"/>
    <w:rsid w:val="73870D9C"/>
    <w:rsid w:val="738B04EC"/>
    <w:rsid w:val="73901ABA"/>
    <w:rsid w:val="73B013AF"/>
    <w:rsid w:val="73B450E6"/>
    <w:rsid w:val="73B65281"/>
    <w:rsid w:val="73BE1682"/>
    <w:rsid w:val="73D94486"/>
    <w:rsid w:val="73EB0D62"/>
    <w:rsid w:val="73F568FB"/>
    <w:rsid w:val="7411459C"/>
    <w:rsid w:val="744FE698"/>
    <w:rsid w:val="745122CD"/>
    <w:rsid w:val="74756124"/>
    <w:rsid w:val="748F26C0"/>
    <w:rsid w:val="74943EDB"/>
    <w:rsid w:val="749574A2"/>
    <w:rsid w:val="7499154E"/>
    <w:rsid w:val="749B55DB"/>
    <w:rsid w:val="74C14C94"/>
    <w:rsid w:val="74E94780"/>
    <w:rsid w:val="74F479F5"/>
    <w:rsid w:val="75080A8C"/>
    <w:rsid w:val="7532626E"/>
    <w:rsid w:val="75444618"/>
    <w:rsid w:val="75445E5C"/>
    <w:rsid w:val="75577C19"/>
    <w:rsid w:val="759209FC"/>
    <w:rsid w:val="75C074EE"/>
    <w:rsid w:val="75F36290"/>
    <w:rsid w:val="76113322"/>
    <w:rsid w:val="763A3C8C"/>
    <w:rsid w:val="763C7819"/>
    <w:rsid w:val="767A67D0"/>
    <w:rsid w:val="76892CC1"/>
    <w:rsid w:val="769C0D07"/>
    <w:rsid w:val="769C4386"/>
    <w:rsid w:val="76BC4AF2"/>
    <w:rsid w:val="76FF2E53"/>
    <w:rsid w:val="77240498"/>
    <w:rsid w:val="77243159"/>
    <w:rsid w:val="772A14C0"/>
    <w:rsid w:val="77594344"/>
    <w:rsid w:val="77762345"/>
    <w:rsid w:val="77905B81"/>
    <w:rsid w:val="77D1020D"/>
    <w:rsid w:val="77EA01F9"/>
    <w:rsid w:val="77FE3A1A"/>
    <w:rsid w:val="781C496D"/>
    <w:rsid w:val="78260151"/>
    <w:rsid w:val="78311820"/>
    <w:rsid w:val="78605B83"/>
    <w:rsid w:val="786D7902"/>
    <w:rsid w:val="788274D1"/>
    <w:rsid w:val="788E451A"/>
    <w:rsid w:val="78940E57"/>
    <w:rsid w:val="78B330FF"/>
    <w:rsid w:val="78C95A49"/>
    <w:rsid w:val="78F106C1"/>
    <w:rsid w:val="791A4032"/>
    <w:rsid w:val="79302A9E"/>
    <w:rsid w:val="794832A7"/>
    <w:rsid w:val="79747DB8"/>
    <w:rsid w:val="7998105D"/>
    <w:rsid w:val="79C96434"/>
    <w:rsid w:val="79DB1497"/>
    <w:rsid w:val="7A327B7A"/>
    <w:rsid w:val="7A51455E"/>
    <w:rsid w:val="7A946D3E"/>
    <w:rsid w:val="7A99460D"/>
    <w:rsid w:val="7AC64373"/>
    <w:rsid w:val="7ADC3B4A"/>
    <w:rsid w:val="7B2F70DE"/>
    <w:rsid w:val="7B424059"/>
    <w:rsid w:val="7B453981"/>
    <w:rsid w:val="7B5A4F84"/>
    <w:rsid w:val="7B683355"/>
    <w:rsid w:val="7B6C71E5"/>
    <w:rsid w:val="7B985FB0"/>
    <w:rsid w:val="7B9D1CAE"/>
    <w:rsid w:val="7BA45F7B"/>
    <w:rsid w:val="7BB01B6D"/>
    <w:rsid w:val="7BD67627"/>
    <w:rsid w:val="7BEC462A"/>
    <w:rsid w:val="7BF800A7"/>
    <w:rsid w:val="7C326A34"/>
    <w:rsid w:val="7C400659"/>
    <w:rsid w:val="7C522593"/>
    <w:rsid w:val="7C524617"/>
    <w:rsid w:val="7C5C1FC8"/>
    <w:rsid w:val="7CA13E62"/>
    <w:rsid w:val="7CDA1136"/>
    <w:rsid w:val="7CF06B1E"/>
    <w:rsid w:val="7CFE2EAF"/>
    <w:rsid w:val="7D1528AD"/>
    <w:rsid w:val="7D292F72"/>
    <w:rsid w:val="7D3F1CB5"/>
    <w:rsid w:val="7D411815"/>
    <w:rsid w:val="7D5C20EC"/>
    <w:rsid w:val="7D7C3D2D"/>
    <w:rsid w:val="7DB417F0"/>
    <w:rsid w:val="7DD70115"/>
    <w:rsid w:val="7DD95B9B"/>
    <w:rsid w:val="7DDF68A0"/>
    <w:rsid w:val="7DF74CAF"/>
    <w:rsid w:val="7E29409D"/>
    <w:rsid w:val="7E650BA4"/>
    <w:rsid w:val="7E7A7F70"/>
    <w:rsid w:val="7EAE12D6"/>
    <w:rsid w:val="7EB43B1C"/>
    <w:rsid w:val="7EB80A47"/>
    <w:rsid w:val="7ED250CB"/>
    <w:rsid w:val="7EDB4562"/>
    <w:rsid w:val="7EFF2A7F"/>
    <w:rsid w:val="7F157F2F"/>
    <w:rsid w:val="7F3E770F"/>
    <w:rsid w:val="7F8C1EAA"/>
    <w:rsid w:val="7F9478C9"/>
    <w:rsid w:val="7FB709AE"/>
    <w:rsid w:val="7FC91B81"/>
    <w:rsid w:val="7FED1830"/>
    <w:rsid w:val="9DF68876"/>
    <w:rsid w:val="D3FD8C56"/>
    <w:rsid w:val="FA6FECB4"/>
    <w:rsid w:val="FF47B6F5"/>
    <w:rsid w:val="FFF6093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semiHidden/>
    <w:qFormat/>
    <w:uiPriority w:val="99"/>
    <w:rPr>
      <w:sz w:val="18"/>
      <w:szCs w:val="18"/>
    </w:rPr>
  </w:style>
  <w:style w:type="character" w:customStyle="1" w:styleId="9">
    <w:name w:val="页脚 Char"/>
    <w:link w:val="2"/>
    <w:qFormat/>
    <w:uiPriority w:val="99"/>
    <w:rPr>
      <w:sz w:val="18"/>
      <w:szCs w:val="18"/>
    </w:rPr>
  </w:style>
  <w:style w:type="paragraph" w:customStyle="1" w:styleId="10">
    <w:name w:val="List Paragraph1"/>
    <w:basedOn w:val="1"/>
    <w:qFormat/>
    <w:uiPriority w:val="99"/>
    <w:pPr>
      <w:ind w:firstLine="420" w:firstLineChars="200"/>
    </w:p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609</Words>
  <Characters>3476</Characters>
  <Lines>28</Lines>
  <Paragraphs>8</Paragraphs>
  <TotalTime>33</TotalTime>
  <ScaleCrop>false</ScaleCrop>
  <LinksUpToDate>false</LinksUpToDate>
  <CharactersWithSpaces>4077</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cmzbh</cp:lastModifiedBy>
  <dcterms:modified xsi:type="dcterms:W3CDTF">2024-03-26T14:24:28Z</dcterms:modified>
  <dc:title>××年××部门（单位）预算</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A7EB81BB8A6003B1603B01661289343D</vt:lpwstr>
  </property>
</Properties>
</file>